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spacing w:after="0"/>
        <w:ind w:left="1440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6F18AA" w:rsidRPr="005F41C9" w:rsidRDefault="00E9784A">
      <w:pPr>
        <w:spacing w:after="0"/>
        <w:ind w:left="1440" w:hanging="1014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5F41C9">
        <w:rPr>
          <w:rFonts w:ascii="Times New Roman" w:eastAsia="Times New Roman" w:hAnsi="Times New Roman" w:cs="Times New Roman"/>
          <w:b/>
          <w:bCs/>
          <w:sz w:val="48"/>
          <w:szCs w:val="48"/>
        </w:rPr>
        <w:t>T.C.</w:t>
      </w:r>
    </w:p>
    <w:p w:rsidR="006F18AA" w:rsidRPr="005F41C9" w:rsidRDefault="00E9784A">
      <w:pPr>
        <w:spacing w:after="0"/>
        <w:ind w:left="1440" w:hanging="1014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5F41C9">
        <w:rPr>
          <w:rFonts w:ascii="Times New Roman" w:eastAsia="Times New Roman" w:hAnsi="Times New Roman" w:cs="Times New Roman"/>
          <w:b/>
          <w:bCs/>
          <w:sz w:val="48"/>
          <w:szCs w:val="48"/>
        </w:rPr>
        <w:t>MARMARA ÜNİVERSİTESİ</w:t>
      </w:r>
    </w:p>
    <w:p w:rsidR="006F18AA" w:rsidRPr="005F41C9" w:rsidRDefault="006F18AA">
      <w:pPr>
        <w:spacing w:after="0"/>
        <w:ind w:left="1440" w:hanging="1014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6F18AA" w:rsidRPr="005F41C9" w:rsidRDefault="00E9784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F41C9">
        <w:rPr>
          <w:rFonts w:ascii="Times New Roman" w:eastAsia="Times New Roman" w:hAnsi="Times New Roman" w:cs="Times New Roman"/>
          <w:b/>
          <w:bCs/>
          <w:sz w:val="36"/>
          <w:szCs w:val="36"/>
        </w:rPr>
        <w:t>Sağlık Yönetimi Bölümü</w:t>
      </w:r>
    </w:p>
    <w:p w:rsidR="006F18AA" w:rsidRPr="005F41C9" w:rsidRDefault="00E9784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F41C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YILI</w:t>
      </w:r>
    </w:p>
    <w:p w:rsidR="006F18AA" w:rsidRPr="005F41C9" w:rsidRDefault="00E978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ind w:left="360" w:hanging="36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F41C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BİRİM İÇ DEĞERLENDİRME RAPORU </w:t>
      </w:r>
    </w:p>
    <w:p w:rsidR="006F18AA" w:rsidRPr="005F41C9" w:rsidRDefault="00E978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ind w:left="360" w:hanging="36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F41C9">
        <w:rPr>
          <w:rFonts w:ascii="Times New Roman" w:eastAsia="Times New Roman" w:hAnsi="Times New Roman" w:cs="Times New Roman"/>
          <w:b/>
          <w:bCs/>
          <w:sz w:val="36"/>
          <w:szCs w:val="36"/>
        </w:rPr>
        <w:t>(BİDR)</w:t>
      </w:r>
    </w:p>
    <w:p w:rsidR="006F18AA" w:rsidRPr="005F41C9" w:rsidRDefault="006F18AA">
      <w:pPr>
        <w:spacing w:after="160" w:line="259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F18AA" w:rsidRPr="005F41C9" w:rsidRDefault="006F18AA">
      <w:pPr>
        <w:spacing w:after="160" w:line="259" w:lineRule="auto"/>
        <w:ind w:left="1440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F18AA" w:rsidRPr="005F41C9" w:rsidRDefault="006F18AA">
      <w:pPr>
        <w:spacing w:after="160" w:line="259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F18AA" w:rsidRPr="005F41C9" w:rsidRDefault="006F18AA">
      <w:pPr>
        <w:spacing w:after="160" w:line="259" w:lineRule="auto"/>
        <w:ind w:left="1440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F18AA" w:rsidRPr="005F41C9" w:rsidRDefault="00E9784A">
      <w:pPr>
        <w:spacing w:after="160" w:line="259" w:lineRule="auto"/>
        <w:ind w:left="144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41C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                     </w:t>
      </w:r>
    </w:p>
    <w:p w:rsidR="006F18AA" w:rsidRPr="005F41C9" w:rsidRDefault="006F18AA">
      <w:pPr>
        <w:spacing w:after="160" w:line="259" w:lineRule="auto"/>
        <w:ind w:left="1440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F18AA" w:rsidRPr="005F41C9" w:rsidRDefault="00E9784A">
      <w:pPr>
        <w:spacing w:after="160" w:line="259" w:lineRule="auto"/>
        <w:ind w:left="1440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F41C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9E0C776" wp14:editId="0F50A88D">
                <wp:simplePos x="0" y="0"/>
                <wp:positionH relativeFrom="column">
                  <wp:posOffset>16393227</wp:posOffset>
                </wp:positionH>
                <wp:positionV relativeFrom="paragraph">
                  <wp:posOffset>780616</wp:posOffset>
                </wp:positionV>
                <wp:extent cx="1162453" cy="1162453"/>
                <wp:effectExtent l="0" t="0" r="0" b="0"/>
                <wp:wrapNone/>
                <wp:docPr id="32" name="Gr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453" cy="1162453"/>
                          <a:chOff x="4764750" y="3198750"/>
                          <a:chExt cx="1162500" cy="1162500"/>
                        </a:xfrm>
                      </wpg:grpSpPr>
                      <wpg:grpSp>
                        <wpg:cNvPr id="1" name="Grup 1"/>
                        <wpg:cNvGrpSpPr/>
                        <wpg:grpSpPr>
                          <a:xfrm>
                            <a:off x="4764774" y="3198774"/>
                            <a:ext cx="1162453" cy="1162453"/>
                            <a:chOff x="4764750" y="3198750"/>
                            <a:chExt cx="1162500" cy="1162500"/>
                          </a:xfrm>
                        </wpg:grpSpPr>
                        <wps:wsp>
                          <wps:cNvPr id="2" name="Dikdörtgen 2"/>
                          <wps:cNvSpPr/>
                          <wps:spPr>
                            <a:xfrm>
                              <a:off x="4764750" y="3198750"/>
                              <a:ext cx="1162500" cy="116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F18AA" w:rsidRDefault="006F18AA">
                                <w:pPr>
                                  <w:spacing w:after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 3"/>
                          <wpg:cNvGrpSpPr/>
                          <wpg:grpSpPr>
                            <a:xfrm>
                              <a:off x="4764774" y="3198774"/>
                              <a:ext cx="1162453" cy="1162453"/>
                              <a:chOff x="10931469" y="1874239"/>
                              <a:chExt cx="6350000" cy="6350000"/>
                            </a:xfrm>
                          </wpg:grpSpPr>
                          <wps:wsp>
                            <wps:cNvPr id="4" name="Dikdörtgen 4"/>
                            <wps:cNvSpPr/>
                            <wps:spPr>
                              <a:xfrm>
                                <a:off x="10931469" y="1874239"/>
                                <a:ext cx="6350000" cy="635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F18AA" w:rsidRDefault="006F18AA">
                                  <w:pPr>
                                    <w:spacing w:after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Serbest Form 5"/>
                            <wps:cNvSpPr/>
                            <wps:spPr>
                              <a:xfrm>
                                <a:off x="10931469" y="1874239"/>
                                <a:ext cx="6350000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 extrusionOk="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ED7D4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F18AA" w:rsidRDefault="006F18AA">
                                  <w:pPr>
                                    <w:spacing w:after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16393227</wp:posOffset>
                </wp:positionH>
                <wp:positionV relativeFrom="paragraph">
                  <wp:posOffset>780616</wp:posOffset>
                </wp:positionV>
                <wp:extent cx="1162453" cy="1162453"/>
                <wp:effectExtent b="0" l="0" r="0" t="0"/>
                <wp:wrapNone/>
                <wp:docPr id="3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453" cy="11624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F18AA" w:rsidRPr="005F41C9" w:rsidRDefault="006F18AA">
      <w:pPr>
        <w:spacing w:after="160" w:line="259" w:lineRule="auto"/>
        <w:ind w:left="1440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F18AA" w:rsidRPr="005F41C9" w:rsidRDefault="006F18AA">
      <w:pPr>
        <w:spacing w:after="160" w:line="259" w:lineRule="auto"/>
        <w:ind w:left="1440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F18AA" w:rsidRPr="005F41C9" w:rsidRDefault="006F18AA">
      <w:pPr>
        <w:spacing w:after="160" w:line="259" w:lineRule="auto"/>
        <w:ind w:left="1440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F18AA" w:rsidRPr="005F41C9" w:rsidRDefault="00E9784A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80" w:after="240"/>
      </w:pPr>
      <w:bookmarkStart w:id="0" w:name="_heading=h.qgfy3ohwbaky" w:colFirst="0" w:colLast="0"/>
      <w:bookmarkEnd w:id="0"/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LİDERLİK, YÖNETİŞİM ve KALİTE </w:t>
      </w: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1"/>
      </w:r>
    </w:p>
    <w:p w:rsidR="006F18AA" w:rsidRPr="005F41C9" w:rsidRDefault="006F18A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E9784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A.1. Liderlik ve Kalite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Birim, kurumsal dönüşümünü sağlayacak yönetim modeline sahip olmalı, liderlik yaklaşımları uygulamalı, iç kalite güvence mekanizmalarını oluşturmalı ve kalite güvence kültürünü içselleştirmelidir.</w:t>
      </w: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tbl>
      <w:tblPr>
        <w:tblStyle w:val="af1"/>
        <w:tblW w:w="9066" w:type="dxa"/>
        <w:tblInd w:w="-113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414"/>
        <w:gridCol w:w="415"/>
        <w:gridCol w:w="415"/>
        <w:gridCol w:w="413"/>
        <w:gridCol w:w="384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left w:val="single" w:sz="4" w:space="0" w:color="000000"/>
              <w:bottom w:val="nil"/>
            </w:tcBorders>
          </w:tcPr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5"/>
            <w:tcBorders>
              <w:bottom w:val="nil"/>
              <w:right w:val="single" w:sz="4" w:space="0" w:color="000000"/>
            </w:tcBorders>
          </w:tcPr>
          <w:p w:rsidR="006F18AA" w:rsidRPr="005F41C9" w:rsidRDefault="00E9784A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Olgunluk 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A.1.1. Yönetişim modeli ve idari yapı 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Rektörlük)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A.1.2. Liderlik 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Rektörlük)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left w:val="single" w:sz="4" w:space="0" w:color="000000"/>
              <w:bottom w:val="single" w:sz="4" w:space="0" w:color="000000"/>
            </w:tcBorders>
          </w:tcPr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A.1.3. Kurumsal dönüşüm kapasitesi</w:t>
            </w:r>
          </w:p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Daire Başkanlıkları, DDVK, KİK, ICDEN, UZEM, BAPKO, MÜSEM, MİTTO)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  <w:tcBorders>
              <w:bottom w:val="single" w:sz="4" w:space="0" w:color="000000"/>
              <w:right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Değişim yönetim modeli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Değişim planları, yol haritaları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Yükseköğretim ekosisteminde ve temel fonksiyonları çevresinde meydana gelen değişime yönelik analiz  raporları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Gelecek senaryoları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Kıyaslama raporları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Yenilik yönetim sistemi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Değişim ekipleri belgeleri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dashed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bookmarkStart w:id="1" w:name="_heading=h.hsvo82kdom3a" w:colFirst="0" w:colLast="0"/>
            <w:bookmarkEnd w:id="1"/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left w:val="single" w:sz="4" w:space="0" w:color="000000"/>
              <w:bottom w:val="single" w:sz="4" w:space="0" w:color="000000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A.1.4. İç kalite güvencesi mekanizmaları 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Tüm İdari ve Akademik Birimler)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  <w:tcBorders>
              <w:bottom w:val="single" w:sz="4" w:space="0" w:color="000000"/>
              <w:right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İş akış şemaları, görev ve sorumluluklar ve paydaşların rollerini gösteren kanıtlar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Risk Yönetim Planı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Geri bildirim yöntemleri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Paydaş katılımına ilişkin belgeler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Yıllık izleme ve iyileştirme raporları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dashed" w:sz="4" w:space="0" w:color="000000"/>
              <w:left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left w:val="single" w:sz="4" w:space="0" w:color="000000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A.1.5. Kamuoyunu bilgilendirme ve hesap verebilirlik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(KİK, BİDB)</w:t>
            </w:r>
          </w:p>
        </w:tc>
        <w:tc>
          <w:tcPr>
            <w:tcW w:w="41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  <w:tcBorders>
              <w:right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3"/>
              </w:numPr>
              <w:ind w:left="311" w:right="63" w:hanging="284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 xml:space="preserve">Kamuoyunu bilgilendirme ve hesap verebilirlik ile ilişkili olarak benimsenen ilke, kural, yöntemler </w:t>
            </w:r>
            <w:r w:rsidRPr="005F41C9">
              <w:rPr>
                <w:rFonts w:ascii="Times New Roman" w:eastAsia="Times New Roman" w:hAnsi="Times New Roman" w:cs="Times New Roman"/>
              </w:rPr>
              <w:t>ve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bilgilendirme adımlarının ilan edildiğini gösteren kanıtlar</w:t>
            </w:r>
          </w:p>
          <w:p w:rsidR="006F18AA" w:rsidRPr="005F41C9" w:rsidRDefault="00E9784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1" w:right="63" w:hanging="284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 xml:space="preserve">Kurumun/birimlerin internet sayfalarının güncel ve erişilebilir olduğuna dair kanıtlar                                                                                                                                                                          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 xml:space="preserve">                                                    </w:t>
            </w:r>
          </w:p>
          <w:p w:rsidR="006F18AA" w:rsidRPr="005F41C9" w:rsidRDefault="00E9784A">
            <w:pPr>
              <w:numPr>
                <w:ilvl w:val="0"/>
                <w:numId w:val="13"/>
              </w:numPr>
              <w:ind w:left="311" w:right="63" w:hanging="284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Kurum içi ve dışı hesap verebilirlik tanımlı süreçlerinin uygulanmakta olduğunu gösteren kanıtlar   </w:t>
            </w:r>
          </w:p>
          <w:p w:rsidR="006F18AA" w:rsidRPr="005F41C9" w:rsidRDefault="00E9784A">
            <w:pPr>
              <w:numPr>
                <w:ilvl w:val="0"/>
                <w:numId w:val="13"/>
              </w:numPr>
              <w:ind w:left="311" w:right="63" w:hanging="284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İç ve dış paydaşların kamuoyunu bilgilendirme ve hesap verebilirlikle ilgili memnuniyeti ve geri bildi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rimleri</w:t>
            </w:r>
          </w:p>
          <w:p w:rsidR="006F18AA" w:rsidRPr="005F41C9" w:rsidRDefault="00E9784A">
            <w:pPr>
              <w:numPr>
                <w:ilvl w:val="0"/>
                <w:numId w:val="13"/>
              </w:numPr>
              <w:ind w:left="311" w:right="63" w:hanging="284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Kamuoyunu bilgilendirme ve hesap verebilirlik mekanizmalarına ilişkin izleme ve iyileştirme kanıtları</w:t>
            </w:r>
          </w:p>
          <w:p w:rsidR="006F18AA" w:rsidRPr="005F41C9" w:rsidRDefault="006F18AA">
            <w:pPr>
              <w:ind w:left="311" w:right="63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dashed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</w:tbl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E9784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A.2. Misyon ve Stratejik Amaçlar 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Birim; vizyon, misyon ve amacını gerçekleştirmek üzere politikaları doğrultusunda oluşturduğu stratejik amaçlarını ve hedeflerini planlayarak uygulamalı, performans yönetimi kapsamında sonuçlarını izleyerek değerlendirmeli ve kamuoyuyla paylaşmalıdır.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2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32"/>
        <w:gridCol w:w="394"/>
        <w:gridCol w:w="395"/>
        <w:gridCol w:w="395"/>
        <w:gridCol w:w="393"/>
        <w:gridCol w:w="357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2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Ölçüt</w:t>
            </w:r>
          </w:p>
        </w:tc>
        <w:tc>
          <w:tcPr>
            <w:tcW w:w="1934" w:type="dxa"/>
            <w:gridSpan w:val="5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shd w:val="clear" w:color="auto" w:fill="A6A6A6"/>
          </w:tcPr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A.2.1. Misyon, vizyon ve politikalar 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Rektörlük)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shd w:val="clear" w:color="auto" w:fill="A6A6A6"/>
          </w:tcPr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A.2.2. Stratejik amaç ve hedefler 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Rektörlük)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2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A.2.3. Performans yönetimi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highlight w:val="yellow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SGDB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highlight w:val="yellow"/>
              </w:rPr>
              <w:t>)</w:t>
            </w:r>
          </w:p>
        </w:tc>
        <w:tc>
          <w:tcPr>
            <w:tcW w:w="39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1" w:right="63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Performans yönetim prosedürlerine dair belgeler</w:t>
            </w:r>
          </w:p>
          <w:p w:rsidR="006F18AA" w:rsidRPr="005F41C9" w:rsidRDefault="00E9784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1" w:right="63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Performans göstergeleri ve anahtar performans göstergeleri</w:t>
            </w:r>
          </w:p>
          <w:p w:rsidR="006F18AA" w:rsidRPr="005F41C9" w:rsidRDefault="00E9784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1" w:right="63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Performans yönetimi sürecinin nasıl işlediğini gösteren kanıtlar</w:t>
            </w:r>
          </w:p>
          <w:p w:rsidR="006F18AA" w:rsidRPr="005F41C9" w:rsidRDefault="00E9784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1" w:right="63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Performans programı raporu</w:t>
            </w:r>
          </w:p>
          <w:p w:rsidR="006F18AA" w:rsidRPr="005F41C9" w:rsidRDefault="00E9784A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1" w:right="63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Performans yönetimi mekanizmalarının izlendiğine ve iyile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ştirildiğine dair kanıtlar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</w:tbl>
    <w:p w:rsidR="006F18AA" w:rsidRPr="005F41C9" w:rsidRDefault="006F18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18AA" w:rsidRPr="005F41C9" w:rsidRDefault="00E9784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A.3. Yönetim Sistemleri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Birim; stratejik hedeflerine ulaşmayı nitelik ve nicelik olarak güvence altına almak amacıyla mali, beşerî ve bilgi kaynakları ile süreçlerini yönetmek üzere bir sisteme sahip olmalıdır</w:t>
      </w:r>
      <w:r w:rsidRPr="005F41C9">
        <w:rPr>
          <w:rFonts w:ascii="Times New Roman" w:eastAsia="Times New Roman" w:hAnsi="Times New Roman" w:cs="Times New Roman"/>
        </w:rPr>
        <w:t>.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3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32"/>
        <w:gridCol w:w="394"/>
        <w:gridCol w:w="395"/>
        <w:gridCol w:w="395"/>
        <w:gridCol w:w="393"/>
        <w:gridCol w:w="357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2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1934" w:type="dxa"/>
            <w:gridSpan w:val="5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2" w:type="dxa"/>
          </w:tcPr>
          <w:p w:rsidR="006F18AA" w:rsidRPr="005F41C9" w:rsidRDefault="00E9784A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A.3.1. Bilgi yönetim sistemi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UZEM, BİDB, KVK Komisyonu, MÜSEM) </w:t>
            </w:r>
          </w:p>
        </w:tc>
        <w:tc>
          <w:tcPr>
            <w:tcW w:w="39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6F18AA" w:rsidRPr="005F41C9" w:rsidRDefault="00E9784A">
            <w:pPr>
              <w:numPr>
                <w:ilvl w:val="0"/>
                <w:numId w:val="15"/>
              </w:numPr>
              <w:ind w:left="311" w:right="63"/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Bilgi Yönetim Sistemi ve bu sistemin fonksiyonlarına ilişkin kanıtlar</w:t>
            </w:r>
          </w:p>
          <w:p w:rsidR="006F18AA" w:rsidRPr="005F41C9" w:rsidRDefault="00E9784A">
            <w:pPr>
              <w:numPr>
                <w:ilvl w:val="0"/>
                <w:numId w:val="15"/>
              </w:numPr>
              <w:ind w:left="311" w:right="63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Kişisel Verilerin İşlenmesine yönelik süreçler ve uygulamalar </w:t>
            </w:r>
          </w:p>
          <w:p w:rsidR="006F18AA" w:rsidRPr="005F41C9" w:rsidRDefault="00E9784A">
            <w:pPr>
              <w:numPr>
                <w:ilvl w:val="0"/>
                <w:numId w:val="15"/>
              </w:numPr>
              <w:ind w:left="311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Bilgi Yönetim Sistemi’nin izlenmesi ve iyileştirilmesine ilişkin kanıtlar </w:t>
            </w:r>
          </w:p>
          <w:p w:rsidR="006F18AA" w:rsidRPr="005F41C9" w:rsidRDefault="00E9784A">
            <w:pPr>
              <w:numPr>
                <w:ilvl w:val="0"/>
                <w:numId w:val="15"/>
              </w:numPr>
              <w:ind w:left="311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Bilgi güvenliğini ve güvenirliğini sağlamaya yönelik süreçler ve uygulamalar </w:t>
            </w:r>
          </w:p>
          <w:p w:rsidR="006F18AA" w:rsidRPr="005F41C9" w:rsidRDefault="00E9784A">
            <w:pPr>
              <w:numPr>
                <w:ilvl w:val="0"/>
                <w:numId w:val="15"/>
              </w:numPr>
              <w:ind w:left="311" w:right="63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Siber tehditlere yönelik risk, sızma testleri ve bağlı iyileştirmeler</w:t>
            </w:r>
          </w:p>
          <w:p w:rsidR="006F18AA" w:rsidRPr="005F41C9" w:rsidRDefault="006F18AA">
            <w:pPr>
              <w:ind w:left="311" w:right="63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2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A.3.2. İnsan kaynakları yönetimi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(PDB)</w:t>
            </w:r>
          </w:p>
        </w:tc>
        <w:tc>
          <w:tcPr>
            <w:tcW w:w="394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/>
              <w:jc w:val="left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İnsan kaynakları politikası ve hedefleri ve bunlara ilişkin uygulamalar (Yetkinlik, işe alınma, hizmet içi eğitim, teşvik ve ödüllendirme vb.)</w:t>
            </w:r>
          </w:p>
          <w:p w:rsidR="006F18AA" w:rsidRPr="005F41C9" w:rsidRDefault="00E9784A">
            <w:pPr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Çalışan (akademik ve idari) memnuniyeti anketleri, uygulama sistematiği ve anket sonuçları </w:t>
            </w:r>
          </w:p>
          <w:p w:rsidR="006F18AA" w:rsidRPr="005F41C9" w:rsidRDefault="00E9784A">
            <w:pPr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İnsan kaynakları yöne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timi uygulamalarına ilişkin izleme ve iyileştirme kanıtları</w:t>
            </w:r>
          </w:p>
          <w:p w:rsidR="006F18AA" w:rsidRPr="005F41C9" w:rsidRDefault="006F18AA">
            <w:pPr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2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A.3.3. Finansal yönetim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SGDB, DSIM)</w:t>
            </w:r>
          </w:p>
        </w:tc>
        <w:tc>
          <w:tcPr>
            <w:tcW w:w="39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Finansal kaynakların yönetimine ilişkin tanımlı süreçler ve uygulamalar (Kaynak dağılımı, kaynakların etkin ve verimli kullanılması, kaynak çeşitliliği)</w:t>
            </w:r>
          </w:p>
          <w:p w:rsidR="006F18AA" w:rsidRPr="005F41C9" w:rsidRDefault="00E9784A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Finansal kaynakların planlama, kullan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ım ve izleme uygulamalarının kurumun stratejik planı ile uyumunu gösteren belgeler</w:t>
            </w:r>
          </w:p>
          <w:p w:rsidR="006F18AA" w:rsidRPr="005F41C9" w:rsidRDefault="00E9784A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Finansal kaynakların yönetimi süreçlerine ilişkin izleme raporları ve analizleri ve iyileştirme kanıtları</w:t>
            </w:r>
          </w:p>
          <w:p w:rsidR="006F18AA" w:rsidRPr="005F41C9" w:rsidRDefault="006F18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</w:tcPr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A.3.4. Süreç yönetimi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(KK)</w:t>
            </w:r>
          </w:p>
        </w:tc>
      </w:tr>
    </w:tbl>
    <w:p w:rsidR="006F18AA" w:rsidRPr="005F41C9" w:rsidRDefault="006F18A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E9784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A.4. Paydaş Katılımı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Birim; iç ve dış paydaşlarının stratejik kararlara ve süreçlere katılımını sağlamak üzere geri bildirimlerini almak, yanıtlamak ve kararlarında kullanmak için gerekli sistemleri oluşturmalı ve yönetmelidir. 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4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23"/>
        <w:gridCol w:w="394"/>
        <w:gridCol w:w="395"/>
        <w:gridCol w:w="395"/>
        <w:gridCol w:w="393"/>
        <w:gridCol w:w="366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3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Alt Ölçüt</w:t>
            </w:r>
          </w:p>
        </w:tc>
        <w:tc>
          <w:tcPr>
            <w:tcW w:w="1943" w:type="dxa"/>
            <w:gridSpan w:val="5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Olgunluk 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3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A.4.1. İç ve dış paydaş katılımı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Tüm Akademik ve İdari Birimler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39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6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Kurumun süreçlerine özgü oluşturulmuş iç ve dış paydaş listesi ile paydaşların önceliklendirilmesine ilişkin kanıtlar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Paydaş görüşlerinin alınması sürecinde kullanılan veri toplama araçları ve yöntemi (Anketler, odak grup toplantıları, çalıştaylar, bilgi y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önetim sistemi vb.)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Karar alma süreçlerinde paydaş katılımının sağlandığını gösteren belgeler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Paydaş katılım mekanizmalarının işleyişine ilişkin izleme ve iyileştirme kanıtları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3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A.4.2. Öğrenci geri bildirimleri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Tüm Akademik ve İdari Birimler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394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highlight w:val="cyan"/>
              </w:rPr>
            </w:pPr>
            <w:r w:rsidRPr="005F41C9">
              <w:rPr>
                <w:rFonts w:ascii="Times New Roman" w:eastAsia="Times New Roman" w:hAnsi="Times New Roman" w:cs="Times New Roman"/>
                <w:highlight w:val="cy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6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 geri bildirimi elde etmeye ilişkin ilke ve kurallar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Tanımlı öğrenci geri bildirim mekanizmalarının tür, yöntem ve çeşitliliğini gösteren kanıtlar (Uzaktan/karma eğitim dahil)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 geri bildirimleri kapsamında gerçekleştirilen iyileştirmelere ili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şkin uygulamalar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Öğrencilerin karar alma mekanizmalarına katılımı örnekleri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 geri bildirim mekanizmasının izlenmesi ve iyileştirilmesine yönelik kanıtlar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rPr>
                <w:i/>
                <w:iCs/>
                <w:smallCaps/>
                <w:sz w:val="26"/>
                <w:szCs w:val="26"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Sağlık Yönetimi Bölümünde, öğrencilerin üniversiteye ve bölüme uyum süreçlerini iyileştirmek amacıyla 2024–2025 akademik yılı başında gerçekleştirilen oryantasyon programına ilişkin öğrenci geri bildirimleri Google Forms aracılığıyla toplanmıştır. Elde edi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len bulgular doğrultusunda, izleyen akademik yılda gerçekleştirilecek oryantasyon programının içeriğinin geliştirilmesi ve öğrenci beklentilerine daha etkin şekilde yanıt verecek biçimde yapılandırılması planlanmıştır. Oryantasyon programına ilişkin öğrenc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i geri bildirimi raporu Ek SPBF.A.4.2.1’de sunulmaktadır.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3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A.4.3. Mezun ilişkileri yönetimi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Tüm Akademik Birimler, MEZOF, KMK, SKSDB)</w:t>
            </w:r>
          </w:p>
        </w:tc>
        <w:tc>
          <w:tcPr>
            <w:tcW w:w="39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highlight w:val="cyan"/>
              </w:rPr>
            </w:pPr>
            <w:r w:rsidRPr="005F41C9">
              <w:rPr>
                <w:rFonts w:ascii="Times New Roman" w:eastAsia="Times New Roman" w:hAnsi="Times New Roman" w:cs="Times New Roman"/>
                <w:highlight w:val="cy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6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Mezun izleme sisteminin özellikleri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Mezunların sahip olduğu yeterlilikler ve programın amaç ve he</w:t>
            </w:r>
            <w:bookmarkStart w:id="2" w:name="_GoBack"/>
            <w:bookmarkEnd w:id="2"/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deflerine ulaşılmasına ilişkin memnuniyet düzeyi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Mezun izleme sistemi kapsamında programlarda gerçekleştirilen güncelleme çalışmaları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Mezun geri bildirimler 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Sağlık Yönetimi Bölümü mezunlarının görüş ve geri bildirimlerinin alınması amacıyla mezun anket formu uygulanmıştır. 2024-2025 dönem mezunlarının söz konusu anket çalışmasına toplam 65 mezun katılım sağlamıştır. Mezunların eğitim-öğretim süreçlerine ilişki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n görüşleri, iş bulma olanaklarına dair bilgiler ve tavsiyeleri değerlendirilmiştir. Anket sonuçlarına ilişkin rapor ek SPBF.A.4.3.1’de sunulmaktadır.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Marmara Üniversitesi Sağlık Yönetimi Kulübü tarafından düzenlenen “Mezunlarla Geçmişten Geleceğe” başlık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lı etkinlik, Marmara Üniversitesi Sağlık Bilimleri Fakültesi Konferans Salonu’nda gerçekleştirilmiştir. Etkinlik kapsamında sağlık yönetimi alanında farklı sektörlerde görev yapan mezunlarla öğrenciler bir araya getirilmiş; kariyer planlama, mesleki gelişi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m ve sektörel deneyim paylaşımı hedeflenmiştir.</w:t>
            </w:r>
            <w:r w:rsidRPr="005F41C9">
              <w:rPr>
                <w:b w:val="0"/>
                <w:bCs w:val="0"/>
              </w:rPr>
              <w:t xml:space="preserve"> 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Etkinlikte katılımcılar, sağlık sektöründe farklı kariyer yollarına ilişkin bilgi edinme ve mezunlarla doğrudan etkileşim kurma imkânı bulmuştur. Etkinliğin, öğrencilerin kariyer farkındalıklarının artırılmas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ına ve üniversite-mezun bağlarının güçlendirilmesine katkı sağladığı değerlendirilmiştir. Etkinliğe ait bilgiler SPBF.B.3.5.3’te yer almaktadır.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</w:tbl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E9784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A.5. Uluslararasılaşma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Birim; uluslararasılaşma stratejisi ve hedefleri doğrultusunda süreçlerini yönetmeli, organizasyonel yapılanmasını oluşturmalı ve sonuçlarını periyodik olarak izleyerek değerlendirmelidir. 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5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102"/>
        <w:gridCol w:w="393"/>
        <w:gridCol w:w="395"/>
        <w:gridCol w:w="395"/>
        <w:gridCol w:w="393"/>
        <w:gridCol w:w="363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6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A.5.1. Uluslararasılaşma süreçle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rinin yönetimi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(UIAI, BAPKO, ÖİDB, Uygulama Araştırma Merkezleri, Enstitüler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Uluslararasılaşma süreçlerinin yönetimi ve organizasyonel yapısı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Uluslararasılaşma süreçlerinin yönetimine ilişkin uygulama kanıtları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Yönetim ve organizasyonel yapıya ilişkin izleme ve iyileştirme kanıtları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A.5.2. Uluslararasılaşma kaynakları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(UIAI, BAPKO, ÖİDB, Uygulama Araştırma Merkezleri, Enstitüler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Kurumun uluslararasılaşma faaliyetlerini sürdürebilmesine yönelik kaynakların planlama kanıtları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Uluslararası çalışmalar için ayrılan kaynaklarının yönetimine ilişkin belgeler (Erasmus vb. bütçelerin kulanım oranı, AB proje bütçelerinin yönetimi ve ikili p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rotokoller kapsamında gerçekleşen kaynakların yönetimine ilişkin belgeler gibi)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Uluslararasılaşma kaynakların dağılımının izlenmesi ve iyileştirilmesine ilişkin kanıtlar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A.5.3. Uluslararasılaşma performansı</w:t>
            </w:r>
            <w:r w:rsidRPr="005F41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(UIAI, BAPKO, OIDB, Uygulama Araştırma Merkezleri, Enstitüler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Stratejik plan ve uluslararasılaşma politikasına ilişkin performans göstergeleri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Uluslararasılaşma faaliyetleri (Uluslararası kapsamda düzenlediği toplantılar, katılım sağladığı programlar,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protokoller kapsamında faaliyetler vb.)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Uluslararasılaşma hedeflerine ulaşılıp ulaşılmadığını izlemek üzere oluşturulan mekanizmalar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Uluslararasılaşma süreçlerine ilişkin yıllık öz değerlendirme raporları ve iyileştirme çalışmaları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2024–2025 akademik yılında Sağlık Yönetimi Bölümü kapsamında Erasmus+Öğrenim Hareketliliği faaliyetleri yürütülmüş ve öğrencilerin uluslararası akademik deneyim kazanmaları desteklenmiştir. Bu kapsamda, 2024-2025 Bahar Yarıyılında Sağlık Yönetimi Bölümü 3.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 xml:space="preserve"> sınıf öğrencisi Abdul Rahman Safi, Erasmus+Öğrenim Hareketliliği programı çerçevesinde Polonya’da öğrenim görmüştür. Öğrencinin hareketlilik süreci, ilgili akademik ve idari birimler tarafından yürütülen planlama ve izleme mekanizmaları doğrultusunda gerç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ekleştirilmiştir.</w:t>
            </w:r>
          </w:p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6F18AA" w:rsidRPr="005F41C9" w:rsidRDefault="00E9784A">
            <w:pPr>
              <w:ind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Erasmus+Öğrenim Hareketliliği kapsamında gerçekleştirilen faaliyetlerin izlenmesi amacıyla, 2024–2025 Erasmus Öğrenim Hareketliliği Bilgilendirme Toplantısına katılan öğrencilerden geri bildirimler alınmıştır. Ayrıca, hareketliliğe katıl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an öğrencinin süreç, akademik kazanımlar ve uluslararası deneyime ilişkin görüşlerini içeren bireysel geri bildirimi değerlendirilmiştir. Elde edilen geri bildirimler, Erasmus süreçlerinin etkililiğinin izlenmesi ve gelecek dönemlerde yürütülecek uluslarar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asılaşma faaliyetlerinin iyileştirilmesine yönelik girdi olarak kullanılmıştır. 2024-2025 akademik yılı Erasmus+Öğrenim Hareketliliği faaliyetlerine ilişkin öğrenci geri bildirimleri, katılımcı bilgileri ve sürece ait belge örnekleri Ek SPBF.A.5.3.1’de sun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ulmaktadır.</w:t>
            </w:r>
          </w:p>
        </w:tc>
      </w:tr>
    </w:tbl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E978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ind w:left="390" w:hanging="39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EĞİTİM VE ÖĞRETİM </w:t>
      </w: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2"/>
      </w:r>
    </w:p>
    <w:p w:rsidR="006F18AA" w:rsidRPr="005F41C9" w:rsidRDefault="00E9784A">
      <w:pPr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Birimin eğitim-öğretim sürecinin değerlendirmesinin yapılması beklenmektedir. Eğitim ve öğretim, Birimin sürekli gelişim odağı ile hedeflerinin ve bu hedeflerin kimler tarafından gerçekleştirileceğinin belirlendiği, eğitim-öğretim faaliyetlerinin gerçekleş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tirildiği, hedeflerin nitelik ve nicelik olarak izlenerek değerlendirildiği ve ulaşılan sonuçların kontrol edilerek ihtiyaç duyulan iyileştirmelerin yapıldığı bir süreç olarak ele alınmalıdır.</w:t>
      </w:r>
    </w:p>
    <w:p w:rsidR="006F18AA" w:rsidRPr="005F41C9" w:rsidRDefault="006F18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18AA" w:rsidRPr="005F41C9" w:rsidRDefault="00E9784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B.1. Programların Tasarımı ve Onayı </w:t>
      </w:r>
    </w:p>
    <w:p w:rsidR="006F18AA" w:rsidRPr="005F41C9" w:rsidRDefault="00E9784A">
      <w:pPr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Birim, öğretim programlar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ını Türkiye Yükseköğretim Yeterlilikleri Çerçevesi ile uyumlu; öğretim amaçlarına ve öğrenme çıktılarına uygun olarak tasarlamalı, öğrencilerin ve toplumun ihtiyaçlarına cevap verdiğinden emin olmak için periyodik olarak değerlendirmeli ve güncellemelidir.</w:t>
      </w: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tbl>
      <w:tblPr>
        <w:tblStyle w:val="af6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108"/>
        <w:gridCol w:w="393"/>
        <w:gridCol w:w="395"/>
        <w:gridCol w:w="395"/>
        <w:gridCol w:w="393"/>
        <w:gridCol w:w="357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6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3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B.1.1. Programların tasarımı ve onayı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(OIDB)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Program tasarımı ve onayı için kullanılan tanımlı süreçler (Eğitim politikasıyla uyumu, el kitabı, kılavuz, usul ve esas vb.)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 tasarımı ve onayı süreçlerinin yönetsel ve organizasyonel yapısı (Komisyonlar, süreç sorumluları, süreç akışı vb.)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amaç ve çıktılarının TYÇ ile uyumunu gösteren kanıtlar (ders program örnekleri, güncel ders izlence örnekleri vb.)  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Uzaktan-karma program tasarımında bölüm/alan bazlı uygulama çeşitliliğine ilişkin kanıtlar (bölümlerin farklı uzaktan eğitim taleplerinin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dikkate alındığına ilişkin kanıtlar vb.)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Program tasarım süreçlerine paydaş katılımını gösteren kanıtlar 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Programların tasarım ve onay sürecinin izlendiği ve buna göre yapılan iyileştirilmelere ilişkin kanıtlar</w:t>
            </w:r>
          </w:p>
          <w:p w:rsidR="006F18AA" w:rsidRPr="005F41C9" w:rsidRDefault="006F1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3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B.1.2. Programın ders dağılım dengesi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(OIDB)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Ders dağılımına ilişkin ilke ve yöntemler ile buna ilişkin kanıtlar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İlan edilmiş ders bilgi paketlerinde ders dağılım dengesinin gözetildiğine ilişkin kanıtlar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Eğitim komisyonu kararı, senato kararları vb</w:t>
            </w:r>
          </w:p>
          <w:p w:rsidR="006F18AA" w:rsidRPr="005F41C9" w:rsidRDefault="00E9784A">
            <w:pPr>
              <w:numPr>
                <w:ilvl w:val="0"/>
                <w:numId w:val="11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Ders dağılım dengesinin izlenmesine ve iyileştirilm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esine ilişkin kanıtlar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</w:rPr>
              <w:tab/>
            </w:r>
          </w:p>
          <w:p w:rsidR="006F18AA" w:rsidRPr="005F41C9" w:rsidRDefault="006F18AA">
            <w:pPr>
              <w:spacing w:line="276" w:lineRule="auto"/>
              <w:ind w:left="311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3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B.1.3. Ders kazanımlarının program çıktılarıyla uyumu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(OIDB)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2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Kurumda, ders kazanımlarını değerlendirilmesi ve müfredat  öğrenim hedeflerine ulaşılması ve bunların program çıktıları ile uyumunun nasıl ölçtüğüne dair etkili süreçleri nasıl gerçekleşeceği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ni gösteren yönerge ve planlma kanıtları</w:t>
            </w:r>
          </w:p>
          <w:p w:rsidR="006F18AA" w:rsidRPr="005F41C9" w:rsidRDefault="00E9784A">
            <w:pPr>
              <w:numPr>
                <w:ilvl w:val="0"/>
                <w:numId w:val="12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 çıktıları ve ders kazanımlarının ilişkilendirilmesi</w:t>
            </w:r>
          </w:p>
          <w:p w:rsidR="006F18AA" w:rsidRPr="005F41C9" w:rsidRDefault="00E9784A">
            <w:pPr>
              <w:numPr>
                <w:ilvl w:val="0"/>
                <w:numId w:val="12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 dışından alınan derslerin (örgün veya uzaktan) program çıktılarıyla uyumunu gösteren kanıtlar</w:t>
            </w:r>
          </w:p>
          <w:p w:rsidR="006F18AA" w:rsidRPr="005F41C9" w:rsidRDefault="00E9784A">
            <w:pPr>
              <w:numPr>
                <w:ilvl w:val="0"/>
                <w:numId w:val="12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Ders kazanımların program çıktılarıyla uyumunun izlen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mesine ve iyileştirilmesine ilişkin kanıtlar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3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B.1.4. Öğrenci iş yüküne dayalı ders tasarımı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(OIDB)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6"/>
              </w:num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AKTS ders bilgi paketleri* (Uzaktan ve karma eğitim programları dahil)</w:t>
            </w:r>
          </w:p>
          <w:p w:rsidR="006F18AA" w:rsidRPr="005F41C9" w:rsidRDefault="00E9784A">
            <w:pPr>
              <w:numPr>
                <w:ilvl w:val="0"/>
                <w:numId w:val="16"/>
              </w:num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 iş yükü kredisinin mesleki uygulamalar, değişim programları, staj ve projeler için tanımlandığını gösteren kanıt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lar*</w:t>
            </w:r>
          </w:p>
          <w:p w:rsidR="006F18AA" w:rsidRPr="005F41C9" w:rsidRDefault="00E9784A">
            <w:pPr>
              <w:numPr>
                <w:ilvl w:val="0"/>
                <w:numId w:val="16"/>
              </w:num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İş yükü temelli kredilerin transferi ve tanınmasına ilişkin tanımlı süreçleri içeren belgeler </w:t>
            </w:r>
          </w:p>
          <w:p w:rsidR="006F18AA" w:rsidRPr="005F41C9" w:rsidRDefault="00E9784A">
            <w:pPr>
              <w:numPr>
                <w:ilvl w:val="0"/>
                <w:numId w:val="16"/>
              </w:num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Programlarda öğrenci İş yükünün belirlenmesinde öğrenci katılımının sağlandığına ilişkin belgeler ve mekanizmalar</w:t>
            </w:r>
          </w:p>
          <w:p w:rsidR="006F18AA" w:rsidRPr="005F41C9" w:rsidRDefault="00E9784A">
            <w:pPr>
              <w:numPr>
                <w:ilvl w:val="0"/>
                <w:numId w:val="16"/>
              </w:num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Diploma Eki </w:t>
            </w:r>
          </w:p>
          <w:p w:rsidR="006F18AA" w:rsidRPr="005F41C9" w:rsidRDefault="00E9784A">
            <w:pPr>
              <w:numPr>
                <w:ilvl w:val="0"/>
                <w:numId w:val="16"/>
              </w:num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Derslerin AKTS kredileri ve A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KTS hesaplama tablolarının takibini gösteren kanıtlar</w:t>
            </w:r>
          </w:p>
          <w:p w:rsidR="006F18AA" w:rsidRPr="005F41C9" w:rsidRDefault="00E9784A">
            <w:pPr>
              <w:numPr>
                <w:ilvl w:val="0"/>
                <w:numId w:val="16"/>
              </w:num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AKTS hesaplama tabloları ve ek belgeler (örn; öğretim üyeleri ve öğrencilerle yapılan anketler)</w:t>
            </w:r>
          </w:p>
          <w:p w:rsidR="006F18AA" w:rsidRPr="005F41C9" w:rsidRDefault="00E9784A">
            <w:pPr>
              <w:numPr>
                <w:ilvl w:val="0"/>
                <w:numId w:val="16"/>
              </w:num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İş yükü temelli kredilerin geribildirimler doğrultusunda güncellendiğine ilişkin kanıtlar</w:t>
            </w:r>
          </w:p>
          <w:p w:rsidR="006F18AA" w:rsidRPr="005F41C9" w:rsidRDefault="006F18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3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B.1.5. Programların izlenmesi ve güncellenmesi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(OIDB)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Programların izlenmesi ve güncellenmesine ilişkin periyot (yıllık ve program süresinin sonunda) ilke, kural, gösterge, plan ve uygulamalar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Kurumun misyon, vizyon ve hedefleri doğrultusunda programlarını güncellemek üzere kurduğu mekanizma örnekleri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ların yıllık öz değerlendirme raporları (Program çıktıları açısından değerlendirme)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 çıktılarına ulaşılıp ulaşılmadığını izleyen sistemler (Bilgi Yönetim Sistemi)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Programların yıllık ve program süresi temelli izlemelerden hareketle yapılan iyileştir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meler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Yapılan iyileştirmeler ve değişiklikler konusunda paydaşların bilgilendirildiği uygulamalar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Programın amaçlarına ulaşıp ulaşmadığına ilişkin geri bildirimler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Doğal afet vb gibi olağan dışı durumlar karşısında programların yürütülmesi için gerekli sür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dürülebilir öğretim modelinin oluşturulduğuna dair kanıtlar</w:t>
            </w:r>
          </w:p>
          <w:p w:rsidR="006F18AA" w:rsidRPr="005F41C9" w:rsidRDefault="006F18AA">
            <w:pPr>
              <w:spacing w:line="276" w:lineRule="auto"/>
              <w:ind w:left="311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3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B.1.6. Eğitim ve öğretim süreçlerinin yönetimi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(OIDB)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284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Eğitim ve öğretim süreçlerinin yönetimine ilişkin organizasyonel yapılanma ve iş akış şemaları 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284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Eğitim ve öğretim ile ölçme ve değerlendirme süreçlerinin yönetimine ilişkin ilke,kurallar ve t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akvim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284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Bilgi Yönetim Sistemi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284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Eğitim ve öğretim süreçlerinin yönetimine ilişkin izleme ve iyileştirme kanıtları</w:t>
            </w:r>
          </w:p>
          <w:p w:rsidR="006F18AA" w:rsidRPr="005F41C9" w:rsidRDefault="00E9784A">
            <w:pPr>
              <w:numPr>
                <w:ilvl w:val="0"/>
                <w:numId w:val="17"/>
              </w:numPr>
              <w:spacing w:line="276" w:lineRule="auto"/>
              <w:ind w:left="311" w:hanging="284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İzleme çalışmalarına dair değerlendirme raporları,  geri bildirimlerin analiz edildiği raporlar ya da analiz içeren dokümanlar ve bu dokümanlara d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ayanarak yapılan iyileştirmelere ilişkin yapılan düzenlemeler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</w:tbl>
    <w:p w:rsidR="006F18AA" w:rsidRPr="005F41C9" w:rsidRDefault="006F18A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6F18A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E9784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B.2. Programların Yürütülmesi (Öğrenci Merkezli Öğrenme Öğretme ve Değerlendirme) 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Birim, öğrenci kabullerine yönelik açık kriterler belirlemeli; diploma, derece ve diğer yeterliliklerin tanınması ve sertifikalandırılması ile ilgili olarak önceden tanımlan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mış ve yayımlanmış kuralları tutarlı ve kalıcı bir şekilde uygulamalıdır.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7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104"/>
        <w:gridCol w:w="393"/>
        <w:gridCol w:w="395"/>
        <w:gridCol w:w="395"/>
        <w:gridCol w:w="393"/>
        <w:gridCol w:w="361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6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9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B.2.1. Öğretim yöntem ve teknikleri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Akademik Birimler ve OIDB, UZEM)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highlight w:val="cyan"/>
              </w:rPr>
            </w:pPr>
            <w:r w:rsidRPr="005F41C9">
              <w:rPr>
                <w:rFonts w:ascii="Times New Roman" w:eastAsia="Times New Roman" w:hAnsi="Times New Roman" w:cs="Times New Roman"/>
                <w:highlight w:val="cy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Ders bilgi paketlerinde öğrenci merkezli öğretim yöntemlerinin varlığı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Uzaktan eğitime özgü öğretim materyali geliştirme ve öğretim yöntemlerine ilişkin ilkeler, mekanizmalar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Aktif ve etkileşimli öğretme yöntemlerine ilişkin tanımlı süreçler ve uygulamalar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Eğiticilerin eğitimi program içeriğinde öğrenci merkezli öğrenme-öğretme yaklaşımına ilişkin uygulamalar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ind w:left="311" w:hanging="311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Süreçlerin izlenmesine ve buna bağlı iyileştirme çalışmalarına yönelik kanıtlar</w:t>
            </w:r>
          </w:p>
          <w:p w:rsidR="006F18AA" w:rsidRPr="005F41C9" w:rsidRDefault="006F18AA">
            <w:pPr>
              <w:spacing w:line="276" w:lineRule="auto"/>
              <w:ind w:left="311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Sağlık Yönetimi Bölümünde yürütülen eğitim-öğretim faaliyetlerinde ders kapsamında verilen ödevlerin yapay zekâ temelli uygulamalar ile desteklenmesi konusunda çalışmalar yürütülmektedir. Ödev süreçleri kapsamında yapay zekâ uygulamalarının kullanımı gerçe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kleştirilmiştir. Öğrencilerin yapay zekâ araçlarını bilinçli bir şekilde kullanmaları ve güncel öğretim yaklaşımlarının eğitim süreçlerine entegre edilmesi amaçlanmaktadır. Elde edilen veriler, öğretim yöntem ve tekniklerinin etkililiğinin izlenmesi ve eği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tim-öğretim süreçlerinin geliştirilmesine yönelik kullanılmıştır. Öğretim yöntem ve tekniklerine ilişkin değerlendirme sonuçları ek SPBF.B.2.1.1’de sunulmaktadır.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9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B.2.2. Ölçme ve değerlendirme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Akademik Birimler ve OIDB, UZEM)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 merkezli ölçme ve değerlendirme yaklaşımlarını içeren planlama dokümanları,  organizasyon yapıları ve görev tanımları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Programlardaki ölçme ve değerlendirme çeşitliliğine ilişkin uygul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ama örnekleri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Örgün/uzaktan/karma derslerde kullanılan sınav örnekleri (programda yer verilen farklı ölçme araçlarına ilişkin)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Ölçme ve değerlendirme uygulamalarının ders kazanımları ve program yeterlilikleriyle ilişkilendirildiğini, öğrenci iş yükünü temel aldığını gösteren ders bilgi paketi örnekleri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Dezavantajlı gruplar ve çevrimiçi sınavlar gibi özel ölçme türlerine ilişkin me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kanizmalar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Sınav güvenliği mekanizmaları 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İzleme ve paydaş katılımına dayalı iyileştirme kanıtları</w:t>
            </w:r>
          </w:p>
          <w:p w:rsidR="006F18AA" w:rsidRPr="005F41C9" w:rsidRDefault="00E9784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        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9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B.2.3. Öğrenci kabulü, önceki öğrenmenin tanınması ve kredilendirilmesi</w:t>
            </w:r>
          </w:p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(OIDB)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9"/>
              </w:num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Öğrenci kabulü, önceki öğrenmenin tanınması ve kredilendirilmesine ilişkin ilke ve kurallar </w:t>
            </w:r>
          </w:p>
          <w:p w:rsidR="006F18AA" w:rsidRPr="005F41C9" w:rsidRDefault="00E9784A">
            <w:pPr>
              <w:numPr>
                <w:ilvl w:val="0"/>
                <w:numId w:val="19"/>
              </w:num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Önceki öğrenmelerin tanınmasında öğrenci iş yükü temelli kredilerin kullanıldığına dair belgeler</w:t>
            </w:r>
          </w:p>
          <w:p w:rsidR="006F18AA" w:rsidRPr="005F41C9" w:rsidRDefault="00E9784A">
            <w:pPr>
              <w:numPr>
                <w:ilvl w:val="0"/>
                <w:numId w:val="19"/>
              </w:num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Uygulamaların tanımlı süreçlerle uyumuna ve sürekliliğine ilişkin kanıtlar,</w:t>
            </w:r>
          </w:p>
          <w:p w:rsidR="006F18AA" w:rsidRPr="005F41C9" w:rsidRDefault="00E9784A">
            <w:pPr>
              <w:numPr>
                <w:ilvl w:val="0"/>
                <w:numId w:val="19"/>
              </w:num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Paydaşların bilgilendirildiği mekanizmalar</w:t>
            </w:r>
          </w:p>
          <w:p w:rsidR="006F18AA" w:rsidRPr="005F41C9" w:rsidRDefault="006F18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9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B.2.4. Yeterliliklerin sertifikalandırılması ve diploma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(OIDB, MÜSEM)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20"/>
              </w:num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Öğrencinin akademik ve kariyer gelişimini izlemek, diploma onayı ve yeterliliklerin sertifikalandırılmasına ilişkin tanımlı süreçler ve mevcut uygulamalar</w:t>
            </w:r>
          </w:p>
          <w:p w:rsidR="006F18AA" w:rsidRPr="005F41C9" w:rsidRDefault="00E9784A">
            <w:pPr>
              <w:numPr>
                <w:ilvl w:val="0"/>
                <w:numId w:val="20"/>
              </w:num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Merkezi yerleştirmeyle gelen öğrenci grupları dışında kalan yatay geçiş, yabancı uyruklu öğrenci sına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vı (YÖS), çift anadal programı (ÇAP), yandal öğrenci kabullerinde uygulanan kriterler</w:t>
            </w:r>
          </w:p>
          <w:p w:rsidR="006F18AA" w:rsidRPr="005F41C9" w:rsidRDefault="00E9784A">
            <w:pPr>
              <w:numPr>
                <w:ilvl w:val="0"/>
                <w:numId w:val="20"/>
              </w:num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 iş yükü kredisinin değişim programlarında herhangi bir ek çalışmaya gerek kalmaksızın tanındığını gösteren belgeler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</w:tbl>
    <w:p w:rsidR="006F18AA" w:rsidRPr="005F41C9" w:rsidRDefault="006F18AA">
      <w:pPr>
        <w:rPr>
          <w:rFonts w:ascii="Times New Roman" w:eastAsia="Times New Roman" w:hAnsi="Times New Roman" w:cs="Times New Roman"/>
          <w:b/>
          <w:bCs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E9784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B.3. Öğrenme Kaynakları ve Akademik Destek Hizmetleri</w:t>
      </w:r>
    </w:p>
    <w:p w:rsidR="006F18AA" w:rsidRPr="005F41C9" w:rsidRDefault="00E9784A">
      <w:pPr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Birim, hedeflediği nitelikli mezun yeterliliklerine ulaşmak ve eğitim- öğretim faaliyetlerini yürütmek için uygun altyapıya, kaynaklara ve ortamlara sahip olmalı ve öğrenme olanaklarının tüm öğrenciler için yeterli ve erişilebilir olmasını güvence altına a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lmalıdır. Birim öğrencilerin akademik gelişimi ve kariyer planlamasına yönelik destek hizmetleri sağlamalıdır.  </w:t>
      </w: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tbl>
      <w:tblPr>
        <w:tblStyle w:val="af8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104"/>
        <w:gridCol w:w="393"/>
        <w:gridCol w:w="395"/>
        <w:gridCol w:w="395"/>
        <w:gridCol w:w="393"/>
        <w:gridCol w:w="361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6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lastRenderedPageBreak/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9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B.3.1. Öğrenme ortam ve kaynakları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(Akademik Birimler, KDDB ve UZEM, OIDB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highlight w:val="cyan"/>
              </w:rPr>
            </w:pPr>
            <w:r w:rsidRPr="005F41C9">
              <w:rPr>
                <w:rFonts w:ascii="Times New Roman" w:eastAsia="Times New Roman" w:hAnsi="Times New Roman" w:cs="Times New Roman"/>
                <w:highlight w:val="cy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Öğrenme kaynakları ve bu kaynakların yeterlilik durumu, geliştirilmesine ilişkin planlamalar ve uygulamalar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Öğrenci el kitabı (kurumun sunduğu öğrenme ortan ve kaynaklarını anlatan) 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Öğrencilerin (kütüphane, labaratuvar vb) erişim analizleri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Öğrenme kaynaklarına erişilebilirlik kanıtları (Uzaktan eğitim dahil)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Öğrenme yönetim sistemi uygulamalarına ilişkin örnekler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Öğrencilere sunulan öğrenme kaynakları ile ilgili öğrenci geri bildirim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araçları (Anketler vb.)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Öğrenme kaynaklarının düzenli izlendiğine ve iyileştirildiğine ilişkin kanıtlar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Öğrencilerin öğrenme kaynaklarına erişim ve akademik bilgi okuryazarlığı becerilerinin geliştirilmesi amacıyla, “Bilgi Okuryazarlığı ve Kullanıcı Eğitimi” düzenlenmiştir. 08.10.2025 tarihinde gerçekleştirilen eğitimde, öğrencilerin kütüphane veri tabanları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nı etkin kullanmaları ve akademik araştırma süreçlerine destek sağlanması hedeflenmiştir. Eğitime ilişkin kanıtlar Ek SPBF.B.3.1.1’de yer almaktadır.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Öğrencilerin kariyer planlama süreçlerine katkı sağlamak amacıyla “CV Hazırlama ve LinkedIn Kullanıcı Eği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timi” gerçekleştirilmiştir. Eğitim kapsamında etkili ve profesyonel özgeçmiş hazırlama teknikleri, iş başvurularında dikkat edilmesi gereken hususlar ile LinkedIn platformunun doğru ve stratejik kullanımı ele alınmıştır. Eğitim sonunda öğrencilerin iş ve k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ariyer süreçlerinde kullanabilecekleri pratik kazanımlar elde etmeleri hedeflenmiştir. Eğitime ilişkin görseller Ek SPBF.B.3.1.2’de yer almaktadır.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9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B.3.2. Akademik destek hizmetleri</w:t>
            </w:r>
          </w:p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Akademik Birimler, AGBK, KMK, UIAI, UYGAR_PD, SKSDB, UZEM, EOBK, MİTTO,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 xml:space="preserve"> KDBB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Akademik destek hizmetleri için kullanılan kullanılan tanımlı süreçler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Varsa uzaktan eğitimde akademik ve teknik öğrenci danışmanlığı mekanizmaları ve tanımlı süreçler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Öğrencilerin danışmanlara erişimine ilişkin mekanizmalar 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Psikolojik danışmanlık veya kariyer merkezi organizasyonel yapılanması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Rehberlik, psikolojik danışmanlık ve kariyer hizmetlerine ilişkin planlama ve uygulamalar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Kariyer merkezi uygulamaları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Öğrencilerin katılımına ilişkin kanıtlar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Öğrencilere sunulan hizmetlerle ilgili öğrenci geri bildirim araçlarının sonuçları ve izleme kanıtları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Sürece ilişkin yapılan güncelleme ve iyileştirme kanıtları  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9" w:type="dxa"/>
            <w:gridSpan w:val="2"/>
          </w:tcPr>
          <w:p w:rsidR="006F18AA" w:rsidRPr="005F41C9" w:rsidRDefault="00E9784A">
            <w:pPr>
              <w:tabs>
                <w:tab w:val="left" w:pos="2608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B.3.3. Tesis ve altyapılar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Tüm Akademik Biriler, SKSDB, YITDB, UZEM, KDDB</w:t>
            </w:r>
            <w:r w:rsidRPr="005F41C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Tesis ve altyapının kullanımına yönelik ilke ve kurallar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Erişim ve kullanıma ilişkin uygulamalar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Tesis ve altyapının kurumsal büyüme ile ilişkili olarak gelişim durumu (Örneğin, birim sayısındaki artış ile fiziksel alanlardaki artış arasındaki ilişki gibi)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Kurumda uzaktan eğitim programları ve uygulamaları varsa; bunlara yönelik alt yapı, tesis, donanım ve yazılım durumları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Tesis ve altyapı hizmetlerinin izlenmesi, çeşitlendirilmesi ve iyileştirilmesine ilişkin kanıtlar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9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B.3.4. Dezavantajlı gruplar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Tüm Koordinatörlükler, Tüm Araştırma Merkezleri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Dezavantajlı öğrenci gruplarına sunulacak hizmetlerle ilgili planlama ve uygulamalar (Kurullarda temsil, engelsiz üniversite uygulamaları, varsa uzaktan eğitim süreçlerindeki uygulamalar vb.)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Dezavantajlı gruplardan alınan geri bildirimlerin izleme ve iyil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eştirme mekanizmalarında kullanıldığına ilişkin belgeler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Engelsiz üniversite uygulamalarına ilişkin izleme ve iyileştirme kanıtları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9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B.3.5. Sosyal, kültürel, sportif faaliyetler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SKSDB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, Tüm Araştırma Merkezleri, Tüm Akademik Birimler</w:t>
            </w:r>
            <w:r w:rsidRPr="005F41C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highlight w:val="cyan"/>
              </w:rPr>
            </w:pPr>
            <w:r w:rsidRPr="005F41C9">
              <w:rPr>
                <w:rFonts w:ascii="Times New Roman" w:eastAsia="Times New Roman" w:hAnsi="Times New Roman" w:cs="Times New Roman"/>
                <w:highlight w:val="cy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1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Sosyal, kültürel ve sportif faaliyetlerin planlanması ve yürütülmesine ilişkin kanıtlar 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Yıl içerisinde öğrencilere yönelik yıllık sportif, kültürel, sosyal faaliyetlerin listesi (Faaliyet türü, konusu, katılımcı sayısı vb. bilgilerle)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Faaliyetlerin erişilebilirliği ve fırsat eşitliğini gözettiğine dair kanıt örnekleri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Faaliyetlerin çeşitliliği ve paydaş geribildirimlerinin göze alındığını gösteren kanıtlar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Sosyal, kültürel ve sportif faaliyetlerin izlenmesine ilişkin araçlar, izleme rap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orları, iyileştirme ve çeşitlendirme kanıtları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“Öngörülemeyen Dünyada Değişimi Yönetmek” ana temasıyla 3. Ulusal Sağlık Yönetimi Öğrenci Kongresi (SAYOK), öğrencilerin akademik ve mesleki gelişimi destekleme misyonuyla 4-5 Aralık 2025 tarihlerinde Marma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ra Üniversitesi Mehmet Genç Külliyesi’nde düzenlenmiştir. Sağlık yönetimi alanında</w:t>
            </w:r>
            <w:r w:rsidRPr="005F41C9">
              <w:rPr>
                <w:b w:val="0"/>
                <w:bCs w:val="0"/>
              </w:rPr>
              <w:t xml:space="preserve"> 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 xml:space="preserve">öğrenim gören  lisans ve lisansüstü öğrencilerin bilimsel çalışmalarını sunma imkânı bulduğu kongreye, 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lastRenderedPageBreak/>
              <w:t>farklı üniversitelerden çok sayıda akademisyen ve sektör temsilcisi iş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tirak etmiştir. Kriz yönetimi, dijital sağlık ekosistemi ve yapay zeka gibi önemli başlıkların ele alındığı panel ve kurslarla zenginleştirilen kongre, öğrencilerin bilimsel yetkinliklerine ve mesleki farkındalıklarına önemli katkılar sağlamıştır. Etkinliğ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e dair görsellere  ve afişlere Ek SPBF.B.3.5.1’da yer verilmektedir.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Sağlık Yönetimi Bölümünde Dr. Öğr. Üyesi kadrosuna yükseltilen Meral Timurtaş ve Demet Ozaner’in tebriği için bölüm öğretim üye ve elemanlarının katılımıyla kutlama etkinliği gerçekleşti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rilmiştir. Etkinlik fotoğrafları SPBF.B.3.5.2.’de sunulmaktadır.</w:t>
            </w:r>
          </w:p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6F18AA" w:rsidRPr="005F41C9" w:rsidRDefault="006F18AA">
      <w:pPr>
        <w:rPr>
          <w:rFonts w:ascii="Times New Roman" w:eastAsia="Times New Roman" w:hAnsi="Times New Roman" w:cs="Times New Roman"/>
          <w:b/>
          <w:bCs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  <w:b/>
          <w:bCs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  <w:b/>
          <w:bCs/>
        </w:rPr>
      </w:pPr>
    </w:p>
    <w:p w:rsidR="006F18AA" w:rsidRPr="005F41C9" w:rsidRDefault="00E9784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B.4. Öğretim Kadrosu </w:t>
      </w:r>
    </w:p>
    <w:p w:rsidR="006F18AA" w:rsidRPr="005F41C9" w:rsidRDefault="00E9784A">
      <w:pPr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Birim, öğretim elemanlarının işe alınması, atanması, yükseltilmesi ve ders görevlendirmesi ile ilgili tüm süreçlerde adil ve açık olmalıdır. Hedeflenen nitelikli mezun yeterliliklerine ulaşmak amacıyla, öğretim elemanlarının eğitim-öğretim yetkinliklerini 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sürekli geliştirmek için olanaklar sunmalıdır.</w:t>
      </w: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tbl>
      <w:tblPr>
        <w:tblStyle w:val="af9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414"/>
        <w:gridCol w:w="415"/>
        <w:gridCol w:w="415"/>
        <w:gridCol w:w="413"/>
        <w:gridCol w:w="384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5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B.4.1. Atama, yükseltme ve görevlendirme kriterleri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PDB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41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Öğretim elemanı atama, yükseltme ve görevlendirme kriterlerinin tanımlı ve kamuoyuna açık olduğunu gösterir kanıtlar                                                                                                                                           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                                                                 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Akademik kadronun uzmanlık alanı ile yürüttükleri ders arasında uyumun sağlanmasına yönelik uygulamalar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Atama, yükseltme ve görevlendirme kriterleri izleme ve iyileştirme kanıtları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nil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B.4.2. Öğretim yetkinlikleri ve gelişimi</w:t>
            </w:r>
          </w:p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Akademik Birimler, KDDB, AGBK, MÜSEM,UZEM, KK</w:t>
            </w:r>
            <w:r w:rsidRPr="005F41C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1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Eğiticilerin eğitimi uygulamalarına  ilişkin planlamalara (kapsamı, veriliş yöntemi, katılım bilgileri vb.) ait kanıtlar (Uzaktan eğitim uygulamaları dahil) 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Öğrenme öğretme merkezi uygulam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alarına ilişkin kanıtlar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Eğiticilerin eğitimi uygulamalarına  (kapsamı, veriliş yöntemi, katılım bilgileri vb.) ilişkin kanıtlar (Uzaktan eğitim uygulamaları dahil)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Eğiticilerin eğitimi dışında öğretim elemanı öğretim yetkinliğinin geliştirilmesine yönelik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uygulamalar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Eğitim kadrosunun eğitim-öğretim performansını izleme süreçlerini gösteren belgeler ve dokümanlar 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Öğretim elemanlarının izleme ve iyileştirme süreçlerine katılımını gösteren kanıtlar</w:t>
            </w:r>
          </w:p>
          <w:p w:rsidR="006F18AA" w:rsidRPr="005F41C9" w:rsidRDefault="00E9784A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Öğretim yetkinliği geliştirme süreçlerine ilişkin izleme ve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iyileştirme kanıtları</w:t>
            </w:r>
          </w:p>
          <w:p w:rsidR="006F18AA" w:rsidRPr="005F41C9" w:rsidRDefault="006F18A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nil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B.4.3 Eğitim faaliyetlerine yönelik teşvik ve ödüllendirme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AGBK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, PDB)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  <w:tcBorders>
              <w:bottom w:val="single" w:sz="4" w:space="0" w:color="000000"/>
            </w:tcBorders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bottom w:val="nil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Eğitim kadrosunun eğitim-öğretim performansını takdir etmek, tanımak ve ödüllendirmek için kurumun geneline yayılmış teşvik mekanizmaları/tanımlı süreçler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Bu alanda yürütülen faaliyetlere ilişkin uygulama örnekleri 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Eğitim kadrosunun eğitim faaliyetlerine yönelik teşvik ve ödüllendirmeye ilişkin kanıtlar</w:t>
            </w:r>
          </w:p>
          <w:p w:rsidR="006F18AA" w:rsidRPr="005F41C9" w:rsidRDefault="00E9784A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Eğitim kadrosunun eğitim-öğretim performansını takdir-tanıma ve ödüllendirmek üzere yürütülen faaliyetle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re ilişkin izleme ve iyileştirme kanıtları</w:t>
            </w:r>
          </w:p>
          <w:p w:rsidR="006F18AA" w:rsidRPr="005F41C9" w:rsidRDefault="006F18AA">
            <w:pPr>
              <w:spacing w:line="276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F18AA" w:rsidRPr="005F41C9" w:rsidRDefault="006F18AA">
      <w:pPr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a"/>
        <w:tblW w:w="9066" w:type="dxa"/>
        <w:tblInd w:w="-113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9066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</w:tbl>
    <w:p w:rsidR="006F18AA" w:rsidRPr="005F41C9" w:rsidRDefault="006F18A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ind w:left="390" w:hanging="390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6F18AA" w:rsidRPr="005F41C9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/>
          <w:pgMar w:top="1418" w:right="1418" w:bottom="1418" w:left="1418" w:header="567" w:footer="567" w:gutter="0"/>
          <w:pgNumType w:start="1"/>
          <w:cols w:space="720"/>
          <w:titlePg/>
        </w:sectPr>
      </w:pPr>
    </w:p>
    <w:p w:rsidR="006F18AA" w:rsidRPr="005F41C9" w:rsidRDefault="00E978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ind w:left="390" w:hanging="39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lastRenderedPageBreak/>
        <w:br w:type="page"/>
      </w:r>
    </w:p>
    <w:p w:rsidR="006F18AA" w:rsidRPr="005F41C9" w:rsidRDefault="00E978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ind w:left="390" w:hanging="39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C. ARAŞTIRMA VE GELİŞTİRME</w:t>
      </w: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3"/>
      </w: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Birimin araştırma sürecinin değerlendirmesinin yapılması beklenmektedir. Araştırma süreci Birimin sürekli gelişim odağı ile hedeflerinin ve bu hedeflerin kimler tarafından gerçekleştirileceğinin belirlendiği, araştırma faaliyetlerinin gerçekleştirildiği, h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edeflerin nitelik ve nicelik olarak izlenerek değerlendirildiği ve ulaşılan sonuçların kontrol edilerek ihtiyaç duyulan iyileştirmelerin yapıldığı bir süreç olarak ele alınmalıdır. </w:t>
      </w:r>
    </w:p>
    <w:p w:rsidR="006F18AA" w:rsidRPr="005F41C9" w:rsidRDefault="006F18A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E9784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C.1. Araştırma Süreçlerinin Yönetimi ve Araştırma Kaynakları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Birim, araşt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ırma faaliyetlerini stratejik planı çerçevesinde belirlenen akademik öncelikleri ile yerel, bölgesel ve ulusal kalkınma hedefleriyle uyumlu, değer üretebilen ve toplumsal faydaya dönüştürülebilen biçimde yönetmelidir. Bu faaliyetler için uygun fiziki altya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pı ve mali kaynaklar oluşturmalı ve bunların etkin şekilde kullanımını sağlamalıdır.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b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414"/>
        <w:gridCol w:w="415"/>
        <w:gridCol w:w="415"/>
        <w:gridCol w:w="413"/>
        <w:gridCol w:w="384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5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shd w:val="clear" w:color="auto" w:fill="A6A6A6"/>
          </w:tcPr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C.1.1. Araştırma süreçlerinin yönetimi 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Rektörlük)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C.1.2 İç ve dış kaynaklar (</w:t>
            </w:r>
            <w:r w:rsidRPr="005F41C9">
              <w:rPr>
                <w:rFonts w:ascii="Times New Roman" w:eastAsia="Times New Roman" w:hAnsi="Times New Roman" w:cs="Times New Roman"/>
                <w:highlight w:val="yellow"/>
              </w:rPr>
              <w:t>MİTTO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, BAPKO, UYGAR_USB, SGDB, DSIM)</w:t>
            </w:r>
          </w:p>
        </w:tc>
        <w:tc>
          <w:tcPr>
            <w:tcW w:w="414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2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Araştırma-geliştirme bütçesi ve dağılımı</w:t>
            </w:r>
          </w:p>
          <w:p w:rsidR="006F18AA" w:rsidRPr="005F41C9" w:rsidRDefault="00E9784A">
            <w:pPr>
              <w:numPr>
                <w:ilvl w:val="0"/>
                <w:numId w:val="2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Araştırma çerçevesinde yapılan stratejik ortaklıklar (Kamu veya özel)</w:t>
            </w:r>
          </w:p>
          <w:p w:rsidR="006F18AA" w:rsidRPr="005F41C9" w:rsidRDefault="00E9784A">
            <w:pPr>
              <w:numPr>
                <w:ilvl w:val="0"/>
                <w:numId w:val="2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Araştırma-geliştirme kaynaklarının araştırma stratejisi doğrultusunda yönetildi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ğini gösteren kanıtlar</w:t>
            </w:r>
          </w:p>
          <w:p w:rsidR="006F18AA" w:rsidRPr="005F41C9" w:rsidRDefault="00E9784A">
            <w:pPr>
              <w:numPr>
                <w:ilvl w:val="0"/>
                <w:numId w:val="2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Araştırma kaynaklarının çeşitliliği ve yeterliliğinin izlendiğine ve iyileştirildiğine ilişkin kanıtlar </w:t>
            </w:r>
          </w:p>
          <w:p w:rsidR="006F18AA" w:rsidRPr="005F41C9" w:rsidRDefault="00E9784A">
            <w:pPr>
              <w:numPr>
                <w:ilvl w:val="0"/>
                <w:numId w:val="2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İç kaynaklar ve kullanımına ilişkin tanımlı süreçler (BAP Yönergesi, İç Kaynak Kullanım Yönergesi vb.)</w:t>
            </w:r>
          </w:p>
          <w:p w:rsidR="006F18AA" w:rsidRPr="005F41C9" w:rsidRDefault="00E9784A">
            <w:pPr>
              <w:numPr>
                <w:ilvl w:val="0"/>
                <w:numId w:val="2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İç kaynakların birimler a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rası dağılımı</w:t>
            </w:r>
          </w:p>
          <w:p w:rsidR="006F18AA" w:rsidRPr="005F41C9" w:rsidRDefault="00E9784A">
            <w:pPr>
              <w:numPr>
                <w:ilvl w:val="0"/>
                <w:numId w:val="2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Dış kaynakların kullanımını desteklemek üzere oluşturulmuş yöntem ve birimler</w:t>
            </w:r>
          </w:p>
          <w:p w:rsidR="006F18AA" w:rsidRPr="005F41C9" w:rsidRDefault="00E9784A">
            <w:pPr>
              <w:numPr>
                <w:ilvl w:val="0"/>
                <w:numId w:val="2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Dış kaynakların dağılımını gösteren kanıtlar</w:t>
            </w:r>
          </w:p>
          <w:p w:rsidR="006F18AA" w:rsidRPr="005F41C9" w:rsidRDefault="00E9784A">
            <w:pPr>
              <w:numPr>
                <w:ilvl w:val="0"/>
                <w:numId w:val="22"/>
              </w:numPr>
              <w:ind w:right="63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Dış kaynaklarda yıllar itibarıyla gerçekleşen değişimler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C.1.3. Doktora programları ve doktora sonrası imkanlar </w:t>
            </w:r>
          </w:p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Tüm Enstitüler, PDB)</w:t>
            </w:r>
          </w:p>
        </w:tc>
        <w:tc>
          <w:tcPr>
            <w:tcW w:w="41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Doktora programları ve doktora sonrası imkanlara ilişkin kanıtlar</w:t>
            </w:r>
          </w:p>
          <w:p w:rsidR="006F18AA" w:rsidRPr="005F41C9" w:rsidRDefault="00E9784A">
            <w:pPr>
              <w:numPr>
                <w:ilvl w:val="0"/>
                <w:numId w:val="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Bu programlar ve imkanlardan yararlanan öğrenci/araştırmacı sayıları ve bunların birimlere göre dağılımı</w:t>
            </w:r>
          </w:p>
          <w:p w:rsidR="006F18AA" w:rsidRPr="005F41C9" w:rsidRDefault="00E9784A">
            <w:pPr>
              <w:numPr>
                <w:ilvl w:val="0"/>
                <w:numId w:val="2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Doktora programları ve doktora sonrası imkanlara yönelik izleme ve iyileştirme kanıtl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arı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F18AA" w:rsidRPr="005F41C9" w:rsidRDefault="006F18A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E9784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C.2 Araştırma Yetkinliği, İş birlikleri ve Destekler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Birim, öğretim elemanları ve araştırmacıların bilimsel araştırma ve sanat yetkinliğini sürdürmek ve iyileştirmek için olanaklar (eğitim, iş birlikleri, destekler, vb.) sunmalıdır.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c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101"/>
        <w:gridCol w:w="393"/>
        <w:gridCol w:w="395"/>
        <w:gridCol w:w="395"/>
        <w:gridCol w:w="393"/>
        <w:gridCol w:w="364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6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6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C.2.1. Araştırma yetkinlikleri ve gelişimi</w:t>
            </w:r>
          </w:p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 xml:space="preserve">Tüm Akademik Birimler, AGBK, </w:t>
            </w:r>
            <w:r w:rsidRPr="005F41C9">
              <w:rPr>
                <w:rFonts w:ascii="Times New Roman" w:eastAsia="Times New Roman" w:hAnsi="Times New Roman" w:cs="Times New Roman"/>
                <w:highlight w:val="yellow"/>
              </w:rPr>
              <w:t>MİTTO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, BAPKO, KDDB)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3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Öğretim elemanlarının araştırma yetkinliğinin geliştirilmesine yönelik planlama ve uygulamalar (destekleyici eğitimler, uluslararası fırsatlar, proje iş birliği çalışmaları vb.) </w:t>
            </w:r>
          </w:p>
          <w:p w:rsidR="006F18AA" w:rsidRPr="005F41C9" w:rsidRDefault="00E9784A">
            <w:pPr>
              <w:numPr>
                <w:ilvl w:val="0"/>
                <w:numId w:val="3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Öğretim elemanlarının geri bildirimleri</w:t>
            </w:r>
          </w:p>
          <w:p w:rsidR="006F18AA" w:rsidRPr="005F41C9" w:rsidRDefault="00E9784A">
            <w:pPr>
              <w:numPr>
                <w:ilvl w:val="0"/>
                <w:numId w:val="3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Öğretim elemanlarının araştırma yetki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nliğinin izlenmesi ve iyileştirilmesine ilişkin kanıtlar 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6" w:type="dxa"/>
            <w:gridSpan w:val="2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C.2.2. Ulusal ve uluslararası ortak programlar ve ortak araştırma birimleri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 xml:space="preserve">(Uygulama ve Araştırma Merkezleri, UIAI, </w:t>
            </w:r>
            <w:r w:rsidRPr="005F41C9">
              <w:rPr>
                <w:rFonts w:ascii="Times New Roman" w:eastAsia="Times New Roman" w:hAnsi="Times New Roman" w:cs="Times New Roman"/>
                <w:highlight w:val="yellow"/>
              </w:rPr>
              <w:t>MİTTO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, BAPKO, OIDB)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64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4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Ulusal ve uluslararası düzeyde ortak programlar ve ortak araştırma birimleri oluşturulmasına yönelik mekanizmalar </w:t>
            </w:r>
          </w:p>
          <w:p w:rsidR="006F18AA" w:rsidRPr="005F41C9" w:rsidRDefault="00E9784A">
            <w:pPr>
              <w:numPr>
                <w:ilvl w:val="0"/>
                <w:numId w:val="4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Ortak programlar ve ortak araştırma faaliyetlerine yönelik ikili anlaşmalar ve iş birliklerine ilişkin kanıtlar</w:t>
            </w:r>
          </w:p>
          <w:p w:rsidR="006F18AA" w:rsidRPr="005F41C9" w:rsidRDefault="00E9784A">
            <w:pPr>
              <w:numPr>
                <w:ilvl w:val="0"/>
                <w:numId w:val="4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Kurumun dahil olduğu araştırma ağları, kurumun ortak programları ve araştırma birimleri, ortak araştırmalardan üretilen çalışmalar ve projeler</w:t>
            </w:r>
          </w:p>
          <w:p w:rsidR="006F18AA" w:rsidRPr="005F41C9" w:rsidRDefault="00E9784A">
            <w:pPr>
              <w:numPr>
                <w:ilvl w:val="0"/>
                <w:numId w:val="4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aydaş geri bildirimleri</w:t>
            </w:r>
          </w:p>
          <w:p w:rsidR="006F18AA" w:rsidRPr="005F41C9" w:rsidRDefault="00E9784A">
            <w:pPr>
              <w:numPr>
                <w:ilvl w:val="0"/>
                <w:numId w:val="4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Ortak programlar ve ortak araştırma faaliyetlerinin izlenmesine ve iyileştirilmesine yönelik kanıtlar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</w:tbl>
    <w:p w:rsidR="006F18AA" w:rsidRPr="005F41C9" w:rsidRDefault="006F18AA">
      <w:pPr>
        <w:rPr>
          <w:rFonts w:ascii="Times New Roman" w:eastAsia="Times New Roman" w:hAnsi="Times New Roman" w:cs="Times New Roman"/>
          <w:b/>
          <w:bCs/>
        </w:rPr>
      </w:pP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C.3. Araştırma Performansı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Birim, araştırma faaliyetlerini verilere dayalı ve periyodik olarak ölçmeli, değerlendirmeli ve sonuçlarını yayımlamalıdır. Elde edilen bulgular, kurumun araştırma ve geliştirme performansının periyodik olarak gözden geçirilmesi ve sürekli iyileştirilmesi 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için kullanılmalıdır.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d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414"/>
        <w:gridCol w:w="415"/>
        <w:gridCol w:w="415"/>
        <w:gridCol w:w="413"/>
        <w:gridCol w:w="384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5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C.3.1. Araştırma performansının izlenmesi ve değerlendirilmesi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 xml:space="preserve">(AGBKİ, </w:t>
            </w:r>
            <w:r w:rsidRPr="005F41C9">
              <w:rPr>
                <w:rFonts w:ascii="Times New Roman" w:eastAsia="Times New Roman" w:hAnsi="Times New Roman" w:cs="Times New Roman"/>
                <w:highlight w:val="yellow"/>
              </w:rPr>
              <w:t>MİTTO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, BAPKO)</w:t>
            </w:r>
          </w:p>
        </w:tc>
        <w:tc>
          <w:tcPr>
            <w:tcW w:w="41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5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Araştırma performansını izlemek üzere geçerli olan tanımlı süreçler</w:t>
            </w:r>
          </w:p>
          <w:p w:rsidR="006F18AA" w:rsidRPr="005F41C9" w:rsidRDefault="00E9784A">
            <w:pPr>
              <w:numPr>
                <w:ilvl w:val="0"/>
                <w:numId w:val="5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Araştırma hedeflerine ulaşılıp ulaşılmadığını izlemek üzere oluşturulan mekanizmalar</w:t>
            </w:r>
          </w:p>
          <w:p w:rsidR="006F18AA" w:rsidRPr="005F41C9" w:rsidRDefault="00E9784A">
            <w:pPr>
              <w:numPr>
                <w:ilvl w:val="0"/>
                <w:numId w:val="5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Paydaş geri bildirimleri</w:t>
            </w:r>
          </w:p>
          <w:p w:rsidR="006F18AA" w:rsidRPr="005F41C9" w:rsidRDefault="00E9784A">
            <w:pPr>
              <w:numPr>
                <w:ilvl w:val="0"/>
                <w:numId w:val="5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Araştırma performansının izlenmesine ve iyileştirilmesine ilişkin kanıtlar</w:t>
            </w:r>
          </w:p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C.3.2. Öğretim elemanı/araştırmacı performansının değerlendirilmesi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KDDB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, AGBK)</w:t>
            </w:r>
          </w:p>
        </w:tc>
        <w:tc>
          <w:tcPr>
            <w:tcW w:w="414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6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Akademik personelin araştırma-geliştirme performansını izlemek üzere geçerli olan tanımlı süreçler (Yönetmelik, yönerge, süreç tanımı, ölçme araçları, rehber, kılavuz, takdir-tanıma sistemi,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 teşvik mekanizmaları vb.)</w:t>
            </w:r>
          </w:p>
          <w:p w:rsidR="006F18AA" w:rsidRPr="005F41C9" w:rsidRDefault="00E9784A">
            <w:pPr>
              <w:numPr>
                <w:ilvl w:val="0"/>
                <w:numId w:val="6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Öğretim elemanlarının araştırma performansına yönelik analiz raporları</w:t>
            </w:r>
          </w:p>
          <w:p w:rsidR="006F18AA" w:rsidRPr="005F41C9" w:rsidRDefault="00E9784A">
            <w:pPr>
              <w:numPr>
                <w:ilvl w:val="0"/>
                <w:numId w:val="6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Öğretim elemanlarının geri bildirimleri</w:t>
            </w:r>
          </w:p>
          <w:p w:rsidR="006F18AA" w:rsidRPr="005F41C9" w:rsidRDefault="00E9784A">
            <w:pPr>
              <w:numPr>
                <w:ilvl w:val="0"/>
                <w:numId w:val="6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Araştırma geliştirme performansına ilişkin izleme ve iyileştirme kanıtları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</w:tbl>
    <w:p w:rsidR="006F18AA" w:rsidRPr="005F41C9" w:rsidRDefault="006F18A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E9784A">
      <w:pPr>
        <w:spacing w:after="160" w:line="259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br w:type="page"/>
      </w:r>
    </w:p>
    <w:p w:rsidR="006F18AA" w:rsidRPr="005F41C9" w:rsidRDefault="00E978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D. TOPLUMSAL KATKI </w:t>
      </w: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4"/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D.1. Toplumsal Katkı Süreçlerinin Yönetimi ve Toplumsal Katkı Kaynakları 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Birim, toplumsal katkı faaliyetlerini stratejik amaçları ve hedefleri doğrultusunda yönetmelidir. Bu faaliyetler için uygun fiziki altyapı ve mali kaynaklar oluşturmalı ve bunların etkin şekilde kullanımını sağlamalıdır.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e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414"/>
        <w:gridCol w:w="415"/>
        <w:gridCol w:w="415"/>
        <w:gridCol w:w="413"/>
        <w:gridCol w:w="384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5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shd w:val="clear" w:color="auto" w:fill="A6A6A6"/>
          </w:tcPr>
          <w:p w:rsidR="006F18AA" w:rsidRPr="005F41C9" w:rsidRDefault="00E9784A">
            <w:pPr>
              <w:jc w:val="left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D.1.1. Toplumsal katkı süreçlerinin yönetimi </w:t>
            </w: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Rektörlük)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D.1.2. Kaynaklar 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Tüm Uygulama ve Araştırma Merkezleri, Tüm Koordinatörlükler, Tüm Akademik Birimler, SGDB, SKSDB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)</w:t>
            </w:r>
          </w:p>
        </w:tc>
        <w:tc>
          <w:tcPr>
            <w:tcW w:w="414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</w:tcPr>
          <w:p w:rsidR="006F18AA" w:rsidRPr="005F41C9" w:rsidRDefault="00E978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7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Toplumsal katkı faaliyetlerini yürüten araştırma ve uygulama merkezleri ve diğer birimlere ilişkin kanıtlar</w:t>
            </w:r>
          </w:p>
          <w:p w:rsidR="006F18AA" w:rsidRPr="005F41C9" w:rsidRDefault="00E9784A">
            <w:pPr>
              <w:numPr>
                <w:ilvl w:val="0"/>
                <w:numId w:val="7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Toplumsal katkı faaliyetlerine ayrılan bütçe ve yıllar içinde dağılımını içeren kanıtlar</w:t>
            </w:r>
          </w:p>
          <w:p w:rsidR="006F18AA" w:rsidRPr="005F41C9" w:rsidRDefault="00E9784A">
            <w:pPr>
              <w:numPr>
                <w:ilvl w:val="0"/>
                <w:numId w:val="7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Toplumsal katkı kaynaklarının toplumsal katkı stratejisi do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 xml:space="preserve">ğrultusunda yönetildiğini gösteren kanıtlar </w:t>
            </w:r>
          </w:p>
          <w:p w:rsidR="006F18AA" w:rsidRPr="005F41C9" w:rsidRDefault="00E9784A">
            <w:pPr>
              <w:numPr>
                <w:ilvl w:val="0"/>
                <w:numId w:val="7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Toplumsal katkı kaynaklarının çeşitliliği ve yeterliliğinin izlendiğine ve iyileştirildiğine ilişkin kanıtlar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** 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Yukarıda istenilen başlıklara ilişkin bilgi ve belgeleri metin olarak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buraya yazınız.</w:t>
            </w:r>
          </w:p>
        </w:tc>
      </w:tr>
    </w:tbl>
    <w:p w:rsidR="006F18AA" w:rsidRPr="005F41C9" w:rsidRDefault="006F18AA">
      <w:pPr>
        <w:spacing w:after="0"/>
        <w:ind w:left="360" w:right="63"/>
        <w:rPr>
          <w:rFonts w:ascii="Times New Roman" w:eastAsia="Times New Roman" w:hAnsi="Times New Roman" w:cs="Times New Roman"/>
          <w:i/>
          <w:iCs/>
        </w:rPr>
      </w:pPr>
    </w:p>
    <w:p w:rsidR="006F18AA" w:rsidRPr="005F41C9" w:rsidRDefault="006F18AA">
      <w:pPr>
        <w:tabs>
          <w:tab w:val="left" w:pos="159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D.2. Toplumsal Katkı Performansı</w:t>
      </w:r>
    </w:p>
    <w:p w:rsidR="006F18AA" w:rsidRPr="005F41C9" w:rsidRDefault="00E9784A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sz w:val="24"/>
          <w:szCs w:val="24"/>
        </w:rPr>
        <w:t>Birim, toplumsal katkı stratejisi ve hedefleri doğrultusunda yürüttüğü faaliyetleri periyodik olarak izlemeli ve sürekli iyileştirmelidir.</w:t>
      </w:r>
    </w:p>
    <w:p w:rsidR="006F18AA" w:rsidRPr="005F41C9" w:rsidRDefault="006F18AA">
      <w:pPr>
        <w:spacing w:after="60"/>
        <w:rPr>
          <w:rFonts w:ascii="Times New Roman" w:eastAsia="Times New Roman" w:hAnsi="Times New Roman" w:cs="Times New Roman"/>
        </w:rPr>
      </w:pPr>
    </w:p>
    <w:tbl>
      <w:tblPr>
        <w:tblStyle w:val="aff"/>
        <w:tblW w:w="90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414"/>
        <w:gridCol w:w="415"/>
        <w:gridCol w:w="415"/>
        <w:gridCol w:w="413"/>
        <w:gridCol w:w="384"/>
      </w:tblGrid>
      <w:tr w:rsidR="005F41C9" w:rsidRPr="005F41C9" w:rsidTr="006F1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  <w:tcBorders>
              <w:bottom w:val="nil"/>
            </w:tcBorders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Alt Ölçüt</w:t>
            </w:r>
          </w:p>
        </w:tc>
        <w:tc>
          <w:tcPr>
            <w:tcW w:w="2041" w:type="dxa"/>
            <w:gridSpan w:val="5"/>
            <w:tcBorders>
              <w:bottom w:val="nil"/>
            </w:tcBorders>
          </w:tcPr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 xml:space="preserve">Olgunluk </w:t>
            </w:r>
          </w:p>
          <w:p w:rsidR="006F18AA" w:rsidRPr="005F41C9" w:rsidRDefault="00E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Düzey Puanı</w:t>
            </w: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5" w:type="dxa"/>
          </w:tcPr>
          <w:p w:rsidR="006F18AA" w:rsidRPr="005F41C9" w:rsidRDefault="00E9784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D.2.1. Toplumsal katkı performansının izlenmesi ve değerlendirilmesi</w:t>
            </w:r>
          </w:p>
          <w:p w:rsidR="006F18AA" w:rsidRPr="005F41C9" w:rsidRDefault="00E9784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 w:rsidRPr="005F41C9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  <w:t>Tüm Uygulama ve Araştırma Merkezleri, Tüm Koordinatörlükler, Tüm Akademik Birimler, SGDB, SKSDB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</w:tc>
        <w:tc>
          <w:tcPr>
            <w:tcW w:w="41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5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84" w:type="dxa"/>
          </w:tcPr>
          <w:p w:rsidR="006F18AA" w:rsidRPr="005F41C9" w:rsidRDefault="00E978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F41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41C9" w:rsidRPr="005F41C9" w:rsidTr="006F18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bottom w:val="single" w:sz="4" w:space="0" w:color="000000"/>
            </w:tcBorders>
          </w:tcPr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Aşağıda istenilen bilgi ve belgeleri süreç mantığı ile yazınız…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numPr>
                <w:ilvl w:val="0"/>
                <w:numId w:val="8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Kurumun hede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fleriyle uyumlu toplumsal katkı faaliyetleri</w:t>
            </w:r>
          </w:p>
          <w:p w:rsidR="006F18AA" w:rsidRPr="005F41C9" w:rsidRDefault="00E9784A">
            <w:pPr>
              <w:numPr>
                <w:ilvl w:val="0"/>
                <w:numId w:val="8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Toplumsal katkı performansını izlemek ve değerlendirmek üzere geçerli olan tanımlı süreçlere ait kanıtlar</w:t>
            </w:r>
          </w:p>
          <w:p w:rsidR="006F18AA" w:rsidRPr="005F41C9" w:rsidRDefault="00E9784A">
            <w:pPr>
              <w:numPr>
                <w:ilvl w:val="0"/>
                <w:numId w:val="8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Toplumsal katkı hedeflerine ulaşılıp ulaşılmadığını izlemek üzere oluşturulan mekanizmaları gösteren kanıtlar</w:t>
            </w:r>
          </w:p>
          <w:p w:rsidR="006F18AA" w:rsidRPr="005F41C9" w:rsidRDefault="00E9784A">
            <w:pPr>
              <w:numPr>
                <w:ilvl w:val="0"/>
                <w:numId w:val="8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Kurumda yürütülen toplumsal katkı faaliyetlerinin değerlendirildiğini gösteren kanıtlar/izleme raporları</w:t>
            </w:r>
          </w:p>
          <w:p w:rsidR="006F18AA" w:rsidRPr="005F41C9" w:rsidRDefault="00E9784A">
            <w:pPr>
              <w:numPr>
                <w:ilvl w:val="0"/>
                <w:numId w:val="8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Toplumsal katkı faaliyetlerine ilişkin iz</w:t>
            </w: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lemeye dayalı iyileştirmelerin yapıldığını gösteren kanıtlar/raporlar</w:t>
            </w:r>
          </w:p>
          <w:p w:rsidR="006F18AA" w:rsidRPr="005F41C9" w:rsidRDefault="00E9784A">
            <w:pPr>
              <w:numPr>
                <w:ilvl w:val="0"/>
                <w:numId w:val="8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İşbirliği yapılan kurumlarla imzalanan protokoller ve anlaşmalar</w:t>
            </w:r>
          </w:p>
          <w:p w:rsidR="006F18AA" w:rsidRPr="005F41C9" w:rsidRDefault="00E9784A">
            <w:pPr>
              <w:numPr>
                <w:ilvl w:val="0"/>
                <w:numId w:val="8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Paydaş geri bildirimleri</w:t>
            </w:r>
          </w:p>
          <w:p w:rsidR="006F18AA" w:rsidRPr="005F41C9" w:rsidRDefault="00E9784A">
            <w:pPr>
              <w:numPr>
                <w:ilvl w:val="0"/>
                <w:numId w:val="8"/>
              </w:numPr>
              <w:ind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i/>
                <w:iCs/>
              </w:rPr>
              <w:t>Toplumsal katkı performansının izlenmesine ve iyileştirilmesine ilişkin kanıtlar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</w:rPr>
            </w:pPr>
          </w:p>
        </w:tc>
      </w:tr>
      <w:tr w:rsidR="005F41C9" w:rsidRPr="005F41C9" w:rsidTr="006F1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rPr>
                <w:i/>
                <w:iCs/>
                <w:smallCaps/>
                <w:sz w:val="26"/>
                <w:szCs w:val="26"/>
              </w:rPr>
            </w:pPr>
            <w:r w:rsidRPr="005F41C9">
              <w:rPr>
                <w:i/>
                <w:iCs/>
                <w:smallCaps/>
                <w:sz w:val="26"/>
                <w:szCs w:val="26"/>
              </w:rPr>
              <w:t>BURAYA METNI GIRINIZ</w:t>
            </w: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6F18A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6F18AA" w:rsidRPr="005F41C9" w:rsidRDefault="00E9784A">
            <w:pPr>
              <w:ind w:left="360" w:right="63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2025–2026 Eğitim-Öğretim Yılı Güz Yarıyılı kapsamında Marmara Üniversitesi Sağlık Bilimleri Fakültesi Sağlık Yönetimi Bölümü öğrencileri tarafından THU100 Topluma Hizmet Uygulamaları dersi çerçevesinde “Görme Engelli Kullanıcılar iç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in E-Kitap Düzenleme Projesi” çalışmaları yürütülmüştür. Bu proje öğrencilerin toplumsal duyarlılık, sosyal sorumluluk ve erişilebilir bilgiye katkı sağlama becerilerini geliştirmeyi amaçlamaktadır. Proje sürecinde, görme engelli bireylerin bilgiye erişimi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ni kolaylaştırmak amacıyla dört adet kitabın elektronik ortamda erişilebilir formatta düzenlenmesine katkı sunulmuş, böylece üniversite ve toplum iş birliği güçlendirilerek sosyal fayda odaklı bir uygulama hayata geçirilmiştir. İlgili konu kapsamında kanıt</w:t>
            </w:r>
            <w:r w:rsidRPr="005F41C9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lar SPBF.D.2.1.1’de sunulmuştur.</w:t>
            </w:r>
          </w:p>
        </w:tc>
      </w:tr>
    </w:tbl>
    <w:p w:rsidR="006F18AA" w:rsidRPr="005F41C9" w:rsidRDefault="006F18AA">
      <w:pPr>
        <w:tabs>
          <w:tab w:val="left" w:pos="1590"/>
        </w:tabs>
        <w:rPr>
          <w:rFonts w:ascii="Times New Roman" w:eastAsia="Times New Roman" w:hAnsi="Times New Roman" w:cs="Times New Roman"/>
          <w:sz w:val="24"/>
          <w:szCs w:val="24"/>
        </w:rPr>
        <w:sectPr w:rsidR="006F18AA" w:rsidRPr="005F41C9">
          <w:headerReference w:type="default" r:id="rId14"/>
          <w:type w:val="continuous"/>
          <w:pgSz w:w="11907" w:h="16840"/>
          <w:pgMar w:top="1418" w:right="1418" w:bottom="1418" w:left="1418" w:header="567" w:footer="567" w:gutter="0"/>
          <w:pgNumType w:start="11"/>
          <w:cols w:space="720"/>
          <w:titlePg/>
        </w:sectPr>
      </w:pPr>
    </w:p>
    <w:p w:rsidR="006F18AA" w:rsidRPr="005F41C9" w:rsidRDefault="00E978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SONUÇ VE DEĞERLENDİRME</w:t>
      </w:r>
    </w:p>
    <w:p w:rsidR="006F18AA" w:rsidRPr="005F41C9" w:rsidRDefault="00E9784A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3" w:name="_heading=h.8zrxyd2ccgta" w:colFirst="0" w:colLast="0"/>
      <w:bookmarkEnd w:id="3"/>
      <w:r w:rsidRPr="005F41C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Birimin güçlü yönleri ile iyileşmeye açık yönlerinin </w:t>
      </w:r>
      <w:r w:rsidRPr="005F41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Liderlik, Yönetim ve Kalite</w:t>
      </w:r>
      <w:r w:rsidRPr="005F41C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F41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Eğitim ve Öğretim</w:t>
      </w:r>
      <w:r w:rsidRPr="005F41C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F41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Araştırma ve Geliştirme</w:t>
      </w:r>
      <w:r w:rsidRPr="005F41C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F41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Toplumsal Katkı</w:t>
      </w:r>
      <w:r w:rsidRPr="005F41C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başlıkları altında genel olarak değerlendirilip kısaca özet olarak sunulması beklenmektedir.</w:t>
      </w: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E9784A">
      <w:pPr>
        <w:spacing w:before="240" w:after="240" w:line="276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Programın Güçlü Yönleri</w:t>
      </w:r>
    </w:p>
    <w:p w:rsidR="006F18AA" w:rsidRPr="005F41C9" w:rsidRDefault="00E9784A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 Öğrencilere mesleki bilgi ve becerilerinin kazandırılmasına yönelik kamu kuruluşlarında uygulama imkânı sağlanması, önceki derslerde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 edinilen bilgi ve becerileri  kullandırabilme, sağlık alanı ile ilgili standartları ve gerçekçi kısıtları içeren, klinik karar verme deneyimini garanti edebilen eğitim planının olması güçlü yöndür.</w:t>
      </w:r>
    </w:p>
    <w:p w:rsidR="006F18AA" w:rsidRPr="005F41C9" w:rsidRDefault="00E9784A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 Sağlık Yönetimi alanında deneyimli bir akademik kadroy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a sahip olunması, kadronun sektör, mesleki kuruluşlar ve işverenler gibi paydaşlarla iletişimi güçlü yöndür.</w:t>
      </w:r>
    </w:p>
    <w:p w:rsidR="006F18AA" w:rsidRPr="005F41C9" w:rsidRDefault="00E9784A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 Bölümde akreditasyon ve mesleki uygulamalara ilişkin kurullar kurulmuş olması ve bunların faaliyetleri, açık kapı politikası, kararlara katılım 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ve sosyal iletişim olanakları, arşivleme faaliyetleri güçlü yöndür.</w:t>
      </w:r>
    </w:p>
    <w:p w:rsidR="006F18AA" w:rsidRPr="005F41C9" w:rsidRDefault="00E9784A">
      <w:pPr>
        <w:spacing w:before="240" w:after="240" w:line="276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Programın Zayıf Yönleri</w:t>
      </w:r>
    </w:p>
    <w:p w:rsidR="006F18AA" w:rsidRPr="005F41C9" w:rsidRDefault="00E9784A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 Anabilim dallarında kadro gelişimine yönelik olarak norm kadro esaslarının gözetilmesi ve akademik öğretim elamanı sayısının artırılması</w:t>
      </w:r>
    </w:p>
    <w:p w:rsidR="006F18AA" w:rsidRPr="005F41C9" w:rsidRDefault="00E9784A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41C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 xml:space="preserve"> Marmara Üniversitesi’</w:t>
      </w:r>
      <w:r w:rsidRPr="005F41C9">
        <w:rPr>
          <w:rFonts w:ascii="Times New Roman" w:eastAsia="Times New Roman" w:hAnsi="Times New Roman" w:cs="Times New Roman"/>
          <w:sz w:val="24"/>
          <w:szCs w:val="24"/>
        </w:rPr>
        <w:t>nin “Araştırma Üniversitesi” olmaya hak kazanması nedeni ile de özellikle AR-GE ve toplumsal katkı başlıklarında bölümün maddi kaynakları ve kurum desteğini kullanarak, araştırma kapasitesinin geliştirilmesi gelişmeye açık yöndür.</w:t>
      </w: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p w:rsidR="006F18AA" w:rsidRPr="005F41C9" w:rsidRDefault="006F18AA">
      <w:pPr>
        <w:rPr>
          <w:rFonts w:ascii="Times New Roman" w:eastAsia="Times New Roman" w:hAnsi="Times New Roman" w:cs="Times New Roman"/>
        </w:rPr>
      </w:pPr>
    </w:p>
    <w:sectPr w:rsidR="006F18AA" w:rsidRPr="005F41C9">
      <w:footerReference w:type="default" r:id="rId15"/>
      <w:headerReference w:type="first" r:id="rId16"/>
      <w:footerReference w:type="first" r:id="rId17"/>
      <w:pgSz w:w="11907" w:h="16840"/>
      <w:pgMar w:top="1418" w:right="1418" w:bottom="1418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84A" w:rsidRDefault="00E9784A">
      <w:pPr>
        <w:spacing w:after="0"/>
      </w:pPr>
      <w:r>
        <w:separator/>
      </w:r>
    </w:p>
  </w:endnote>
  <w:endnote w:type="continuationSeparator" w:id="0">
    <w:p w:rsidR="00E9784A" w:rsidRDefault="00E978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E4B4CF8E-9421-45FB-8842-E89148FD551E}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2" w:fontKey="{2BD3BD13-E19E-49FF-BC35-3DB273BDB896}"/>
    <w:embedBold r:id="rId3" w:fontKey="{E0E14E05-BFF4-4F36-B1E5-0C599EB3679F}"/>
    <w:embedBoldItalic r:id="rId4" w:fontKey="{D2D7228F-40FB-4135-AEDF-329D00A8A6FA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5" w:fontKey="{33C03F02-A33B-4CB4-A93A-4736DA6037C5}"/>
    <w:embedBold r:id="rId6" w:fontKey="{1CF16EFB-B8ED-422C-95B5-46831AEC9ED6}"/>
    <w:embedItalic r:id="rId7" w:fontKey="{F29176DB-29F2-416F-9A16-08CBBF3ABA83}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8" w:fontKey="{9379355A-00ED-4EED-B9E9-0C3017FFB54A}"/>
  </w:font>
  <w:font w:name="Lato">
    <w:charset w:val="00"/>
    <w:family w:val="auto"/>
    <w:pitch w:val="default"/>
    <w:embedBold r:id="rId9" w:fontKey="{68C7BC2F-FEF6-4062-B377-D4035A9C44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</w:p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AA" w:rsidRDefault="006F18A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ff0"/>
      <w:tblW w:w="2970" w:type="dxa"/>
      <w:tblInd w:w="6799" w:type="dxa"/>
      <w:tblLayout w:type="fixed"/>
      <w:tblLook w:val="0400" w:firstRow="0" w:lastRow="0" w:firstColumn="0" w:lastColumn="0" w:noHBand="0" w:noVBand="1"/>
    </w:tblPr>
    <w:tblGrid>
      <w:gridCol w:w="1294"/>
      <w:gridCol w:w="1676"/>
    </w:tblGrid>
    <w:tr w:rsidR="006F18AA">
      <w:trPr>
        <w:trHeight w:val="416"/>
      </w:trPr>
      <w:tc>
        <w:tcPr>
          <w:tcW w:w="1294" w:type="dxa"/>
          <w:tcBorders>
            <w:top w:val="single" w:sz="4" w:space="0" w:color="000000"/>
          </w:tcBorders>
          <w:vAlign w:val="center"/>
        </w:tcPr>
        <w:p w:rsidR="006F18AA" w:rsidRDefault="00E9784A">
          <w:pPr>
            <w:tabs>
              <w:tab w:val="center" w:pos="4680"/>
              <w:tab w:val="right" w:pos="9360"/>
            </w:tabs>
            <w:spacing w:after="0"/>
            <w:ind w:right="-140"/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  <w:t>DOKÜMAN NO:</w:t>
          </w:r>
        </w:p>
      </w:tc>
      <w:tc>
        <w:tcPr>
          <w:tcW w:w="1676" w:type="dxa"/>
          <w:tcBorders>
            <w:top w:val="single" w:sz="4" w:space="0" w:color="000000"/>
          </w:tcBorders>
          <w:vAlign w:val="center"/>
        </w:tcPr>
        <w:p w:rsidR="006F18AA" w:rsidRDefault="00E9784A">
          <w:pPr>
            <w:tabs>
              <w:tab w:val="center" w:pos="4680"/>
              <w:tab w:val="right" w:pos="9360"/>
            </w:tabs>
            <w:spacing w:after="0"/>
            <w:jc w:val="left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KK.FR.001.R003</w:t>
          </w:r>
        </w:p>
      </w:tc>
    </w:tr>
    <w:tr w:rsidR="006F18AA">
      <w:trPr>
        <w:trHeight w:val="256"/>
      </w:trPr>
      <w:tc>
        <w:tcPr>
          <w:tcW w:w="1294" w:type="dxa"/>
          <w:vAlign w:val="center"/>
        </w:tcPr>
        <w:p w:rsidR="006F18AA" w:rsidRDefault="00E9784A">
          <w:pPr>
            <w:tabs>
              <w:tab w:val="center" w:pos="4680"/>
              <w:tab w:val="right" w:pos="9360"/>
            </w:tabs>
            <w:spacing w:after="0"/>
            <w:ind w:right="-140"/>
            <w:jc w:val="left"/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  <w:t>SAYFA NO:</w:t>
          </w:r>
        </w:p>
      </w:tc>
      <w:tc>
        <w:tcPr>
          <w:tcW w:w="1676" w:type="dxa"/>
          <w:vAlign w:val="center"/>
        </w:tcPr>
        <w:p w:rsidR="006F18AA" w:rsidRDefault="00E9784A">
          <w:pPr>
            <w:tabs>
              <w:tab w:val="center" w:pos="4680"/>
              <w:tab w:val="right" w:pos="9360"/>
            </w:tabs>
            <w:spacing w:after="0"/>
            <w:jc w:val="left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instrText>PAGE</w:instrText>
          </w:r>
          <w:r w:rsidR="005F41C9">
            <w:rPr>
              <w:rFonts w:ascii="Times New Roman" w:eastAsia="Times New Roman" w:hAnsi="Times New Roman" w:cs="Times New Roman"/>
              <w:sz w:val="16"/>
              <w:szCs w:val="16"/>
            </w:rPr>
            <w:fldChar w:fldCharType="separate"/>
          </w:r>
          <w:r w:rsidR="005F41C9">
            <w:rPr>
              <w:rFonts w:ascii="Times New Roman" w:eastAsia="Times New Roman" w:hAnsi="Times New Roman" w:cs="Times New Roman"/>
              <w:noProof/>
              <w:sz w:val="16"/>
              <w:szCs w:val="16"/>
            </w:rPr>
            <w:t>13</w:t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fldChar w:fldCharType="end"/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 / </w:t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instrText>NUMPAGES</w:instrText>
          </w:r>
          <w:r w:rsidR="005F41C9">
            <w:rPr>
              <w:rFonts w:ascii="Times New Roman" w:eastAsia="Times New Roman" w:hAnsi="Times New Roman" w:cs="Times New Roman"/>
              <w:sz w:val="16"/>
              <w:szCs w:val="16"/>
            </w:rPr>
            <w:fldChar w:fldCharType="separate"/>
          </w:r>
          <w:r w:rsidR="005F41C9">
            <w:rPr>
              <w:rFonts w:ascii="Times New Roman" w:eastAsia="Times New Roman" w:hAnsi="Times New Roman" w:cs="Times New Roman"/>
              <w:noProof/>
              <w:sz w:val="16"/>
              <w:szCs w:val="16"/>
            </w:rPr>
            <w:t>22</w:t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:rsidR="006F18AA" w:rsidRDefault="00E9784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  <w:tab w:val="left" w:pos="8218"/>
      </w:tabs>
      <w:spacing w:after="0"/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AA" w:rsidRDefault="00E9784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5671514</wp:posOffset>
          </wp:positionH>
          <wp:positionV relativeFrom="paragraph">
            <wp:posOffset>-1206498</wp:posOffset>
          </wp:positionV>
          <wp:extent cx="975995" cy="1711325"/>
          <wp:effectExtent l="0" t="0" r="0" b="0"/>
          <wp:wrapSquare wrapText="bothSides" distT="0" distB="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975995" cy="1711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AA" w:rsidRDefault="006F18A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ff1"/>
      <w:tblW w:w="8504" w:type="dxa"/>
      <w:tblInd w:w="2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18"/>
      <w:gridCol w:w="1917"/>
      <w:gridCol w:w="2550"/>
      <w:gridCol w:w="1419"/>
    </w:tblGrid>
    <w:tr w:rsidR="006F18AA">
      <w:trPr>
        <w:trHeight w:val="416"/>
      </w:trPr>
      <w:tc>
        <w:tcPr>
          <w:tcW w:w="2618" w:type="dxa"/>
          <w:vMerge w:val="restart"/>
          <w:tcBorders>
            <w:right w:val="single" w:sz="4" w:space="0" w:color="000000"/>
          </w:tcBorders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right="-140" w:hanging="2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>Hazırlayan</w:t>
          </w:r>
        </w:p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Kalite Koordinatörlüğü</w:t>
          </w: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</w:p>
      </w:tc>
      <w:tc>
        <w:tcPr>
          <w:tcW w:w="1917" w:type="dxa"/>
          <w:vMerge w:val="restart"/>
          <w:tcBorders>
            <w:left w:val="single" w:sz="4" w:space="0" w:color="000000"/>
            <w:right w:val="single" w:sz="4" w:space="0" w:color="000000"/>
          </w:tcBorders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right="-140" w:hanging="2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>Kontrol eden</w:t>
          </w:r>
        </w:p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Kalite Koordinatörlüğü</w:t>
          </w:r>
        </w:p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 xml:space="preserve">Süreç Yönetim Sorumlusu </w:t>
          </w: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right="-14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5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/>
            <w:ind w:right="-140" w:hanging="2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                              DOKÜMAN NO:</w:t>
          </w:r>
        </w:p>
      </w:tc>
      <w:tc>
        <w:tcPr>
          <w:tcW w:w="14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/>
            <w:ind w:hanging="2"/>
            <w:jc w:val="right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>KK.FR.001.R003</w:t>
          </w:r>
        </w:p>
      </w:tc>
    </w:tr>
    <w:tr w:rsidR="006F18AA">
      <w:trPr>
        <w:trHeight w:val="853"/>
      </w:trPr>
      <w:tc>
        <w:tcPr>
          <w:tcW w:w="2618" w:type="dxa"/>
          <w:vMerge/>
          <w:tcBorders>
            <w:right w:val="single" w:sz="4" w:space="0" w:color="000000"/>
          </w:tcBorders>
        </w:tcPr>
        <w:p w:rsidR="006F18AA" w:rsidRDefault="006F1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left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</w:p>
      </w:tc>
      <w:tc>
        <w:tcPr>
          <w:tcW w:w="1917" w:type="dxa"/>
          <w:vMerge/>
          <w:tcBorders>
            <w:left w:val="single" w:sz="4" w:space="0" w:color="000000"/>
            <w:right w:val="single" w:sz="4" w:space="0" w:color="000000"/>
          </w:tcBorders>
        </w:tcPr>
        <w:p w:rsidR="006F18AA" w:rsidRDefault="006F1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left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</w:p>
      </w:tc>
      <w:tc>
        <w:tcPr>
          <w:tcW w:w="25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/>
            <w:ind w:right="-140" w:hanging="2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                              YAYIN TARİHİ:</w:t>
          </w:r>
        </w:p>
      </w:tc>
      <w:tc>
        <w:tcPr>
          <w:tcW w:w="14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/>
            <w:ind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01/10/2024</w:t>
          </w:r>
        </w:p>
      </w:tc>
    </w:tr>
    <w:tr w:rsidR="006F18AA">
      <w:trPr>
        <w:trHeight w:val="256"/>
      </w:trPr>
      <w:tc>
        <w:tcPr>
          <w:tcW w:w="2618" w:type="dxa"/>
          <w:tcBorders>
            <w:right w:val="single" w:sz="4" w:space="0" w:color="000000"/>
          </w:tcBorders>
          <w:vAlign w:val="center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276" w:lineRule="auto"/>
            <w:ind w:hanging="2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REVİZYON TARİHİ: 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14/05/2025</w:t>
          </w:r>
        </w:p>
      </w:tc>
      <w:tc>
        <w:tcPr>
          <w:tcW w:w="1917" w:type="dxa"/>
          <w:tcBorders>
            <w:left w:val="single" w:sz="4" w:space="0" w:color="000000"/>
            <w:right w:val="single" w:sz="4" w:space="0" w:color="000000"/>
          </w:tcBorders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 w:line="360" w:lineRule="auto"/>
            <w:ind w:right="-14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REVİZYON NO: 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02</w:t>
          </w:r>
        </w:p>
      </w:tc>
      <w:tc>
        <w:tcPr>
          <w:tcW w:w="25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/>
            <w:ind w:right="-140" w:hanging="2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                       SAYFA NO:</w:t>
          </w:r>
        </w:p>
      </w:tc>
      <w:tc>
        <w:tcPr>
          <w:tcW w:w="14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after="0"/>
            <w:ind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 xml:space="preserve">15 / 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NUMPAGES</w:instrText>
          </w:r>
          <w:r w:rsidR="005F41C9"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5F41C9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22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ind w:left="720"/>
      <w:jc w:val="right"/>
      <w:rPr>
        <w:rFonts w:ascii="Lato" w:eastAsia="Lato" w:hAnsi="Lato" w:cs="Lato"/>
        <w:b/>
        <w:bCs/>
        <w:color w:val="7F7F7F"/>
        <w:sz w:val="16"/>
        <w:szCs w:val="16"/>
      </w:rPr>
    </w:pPr>
  </w:p>
  <w:tbl>
    <w:tblPr>
      <w:tblStyle w:val="aff2"/>
      <w:tblW w:w="9061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588"/>
      <w:gridCol w:w="1999"/>
      <w:gridCol w:w="2776"/>
      <w:gridCol w:w="1698"/>
    </w:tblGrid>
    <w:tr w:rsidR="006F18AA" w:rsidTr="006F18A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7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588" w:type="dxa"/>
          <w:vMerge w:val="restart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276" w:lineRule="auto"/>
            <w:ind w:right="-14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color w:val="000000"/>
              <w:sz w:val="16"/>
              <w:szCs w:val="16"/>
            </w:rPr>
            <w:t>Hazırlayan</w:t>
          </w:r>
        </w:p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color w:val="000000"/>
              <w:sz w:val="16"/>
              <w:szCs w:val="16"/>
            </w:rPr>
            <w:t>Kalite Koordinatörlüğü</w:t>
          </w: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199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276" w:lineRule="auto"/>
            <w:ind w:right="-140" w:hanging="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color w:val="000000"/>
              <w:sz w:val="16"/>
              <w:szCs w:val="16"/>
            </w:rPr>
            <w:t>Kontrol eden</w:t>
          </w:r>
        </w:p>
      </w:tc>
      <w:tc>
        <w:tcPr>
          <w:tcW w:w="27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ind w:right="-140" w:hanging="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color w:val="000000"/>
              <w:sz w:val="16"/>
              <w:szCs w:val="16"/>
            </w:rPr>
            <w:t xml:space="preserve">                                  DOKÜMAN NO:</w:t>
          </w:r>
        </w:p>
      </w:tc>
      <w:tc>
        <w:tcPr>
          <w:tcW w:w="169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ind w:hanging="2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color w:val="000000"/>
              <w:sz w:val="16"/>
              <w:szCs w:val="16"/>
            </w:rPr>
            <w:t>KK.FR.001.R003</w:t>
          </w:r>
        </w:p>
      </w:tc>
    </w:tr>
    <w:tr w:rsidR="006F18AA" w:rsidTr="006F18AA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53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588" w:type="dxa"/>
          <w:vMerge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</w:tcPr>
        <w:p w:rsidR="006F18AA" w:rsidRDefault="006F1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1999" w:type="dxa"/>
          <w:tcBorders>
            <w:top w:val="single" w:sz="4" w:space="0" w:color="000000"/>
          </w:tcBorders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276" w:lineRule="auto"/>
            <w:ind w:hanging="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Kalite Koordinatörlüğü</w:t>
          </w:r>
        </w:p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720" w:lineRule="auto"/>
            <w:ind w:hanging="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 xml:space="preserve">Süreç Yönetim Sorumlusu </w:t>
          </w:r>
        </w:p>
        <w:p w:rsidR="006F18AA" w:rsidRDefault="006F18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276" w:lineRule="auto"/>
            <w:ind w:right="-140" w:hanging="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776" w:type="dxa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ind w:right="-140" w:hanging="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                                  YAYIN TARİHİ:</w:t>
          </w:r>
        </w:p>
      </w:tc>
      <w:tc>
        <w:tcPr>
          <w:tcW w:w="1698" w:type="dxa"/>
          <w:tcBorders>
            <w:top w:val="single" w:sz="4" w:space="0" w:color="000000"/>
          </w:tcBorders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ind w:hanging="2"/>
            <w:jc w:val="right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01/10/2024</w:t>
          </w:r>
        </w:p>
      </w:tc>
    </w:tr>
    <w:tr w:rsidR="006F18AA" w:rsidTr="006F18AA">
      <w:trPr>
        <w:trHeight w:val="256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588" w:type="dxa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276" w:lineRule="auto"/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color w:val="000000"/>
              <w:sz w:val="16"/>
              <w:szCs w:val="16"/>
            </w:rPr>
            <w:t>REVİZYON TARİHİ: 14/05/2025</w:t>
          </w:r>
        </w:p>
      </w:tc>
      <w:tc>
        <w:tcPr>
          <w:tcW w:w="1999" w:type="dxa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spacing w:line="360" w:lineRule="auto"/>
            <w:ind w:right="-140" w:hanging="2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REVİZYON NO: 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02</w:t>
          </w:r>
        </w:p>
      </w:tc>
      <w:tc>
        <w:tcPr>
          <w:tcW w:w="2776" w:type="dxa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ind w:right="-140" w:hanging="2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                   SAYFA NO:</w:t>
          </w:r>
        </w:p>
      </w:tc>
      <w:tc>
        <w:tcPr>
          <w:tcW w:w="1698" w:type="dxa"/>
        </w:tcPr>
        <w:p w:rsidR="006F18AA" w:rsidRDefault="00E97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ind w:hanging="2"/>
            <w:jc w:val="right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 w:rsidR="005F41C9"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5F41C9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17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 xml:space="preserve"> / 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NUMPAGES</w:instrText>
          </w:r>
          <w:r w:rsidR="005F41C9"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5F41C9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22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84A" w:rsidRDefault="00E9784A">
      <w:pPr>
        <w:spacing w:after="0"/>
      </w:pPr>
      <w:r>
        <w:separator/>
      </w:r>
    </w:p>
  </w:footnote>
  <w:footnote w:type="continuationSeparator" w:id="0">
    <w:p w:rsidR="00E9784A" w:rsidRDefault="00E9784A">
      <w:pPr>
        <w:spacing w:after="0"/>
      </w:pPr>
      <w:r>
        <w:continuationSeparator/>
      </w:r>
    </w:p>
  </w:footnote>
  <w:footnote w:id="1">
    <w:p w:rsidR="006F18AA" w:rsidRDefault="00E978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Olgunluk düzeyleri için EK-1’de yer alan doküman kullanılacaktır.</w:t>
      </w:r>
    </w:p>
  </w:footnote>
  <w:footnote w:id="2">
    <w:p w:rsidR="006F18AA" w:rsidRDefault="00E978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Olgunluk düzeyleri için EK-1’de yer alan doküman kullanılacaktır.</w:t>
      </w:r>
    </w:p>
  </w:footnote>
  <w:footnote w:id="3">
    <w:p w:rsidR="006F18AA" w:rsidRDefault="00E978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Olgunluk düzeyleri için EK-1’de yer alan doküman kullanılacaktır.</w:t>
      </w:r>
    </w:p>
  </w:footnote>
  <w:footnote w:id="4">
    <w:p w:rsidR="006F18AA" w:rsidRDefault="00E978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Olgunluk düzeyleri için EK-1’de yer alan doküman kullanılacaktır.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AA" w:rsidRDefault="00E9784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14539595</wp:posOffset>
              </wp:positionH>
              <wp:positionV relativeFrom="paragraph">
                <wp:posOffset>-32868867</wp:posOffset>
              </wp:positionV>
              <wp:extent cx="626745" cy="1246505"/>
              <wp:effectExtent l="0" t="0" r="0" b="0"/>
              <wp:wrapNone/>
              <wp:docPr id="31" name="Dikdörtgen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42153" y="3166273"/>
                        <a:ext cx="607695" cy="1227455"/>
                      </a:xfrm>
                      <a:prstGeom prst="rect">
                        <a:avLst/>
                      </a:prstGeom>
                      <a:solidFill>
                        <a:srgbClr val="8497B0"/>
                      </a:solidFill>
                      <a:ln>
                        <a:noFill/>
                      </a:ln>
                    </wps:spPr>
                    <wps:txbx>
                      <w:txbxContent>
                        <w:p w:rsidR="006F18AA" w:rsidRDefault="006F18AA">
                          <w:pPr>
                            <w:spacing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14539595</wp:posOffset>
              </wp:positionH>
              <wp:positionV relativeFrom="paragraph">
                <wp:posOffset>-32868867</wp:posOffset>
              </wp:positionV>
              <wp:extent cx="626745" cy="1246505"/>
              <wp:effectExtent b="0" l="0" r="0" t="0"/>
              <wp:wrapNone/>
              <wp:docPr id="3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6745" cy="12465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22131020</wp:posOffset>
          </wp:positionH>
          <wp:positionV relativeFrom="paragraph">
            <wp:posOffset>-43374942</wp:posOffset>
          </wp:positionV>
          <wp:extent cx="735330" cy="611505"/>
          <wp:effectExtent l="0" t="0" r="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330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AA" w:rsidRDefault="00E9784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-889963</wp:posOffset>
          </wp:positionH>
          <wp:positionV relativeFrom="paragraph">
            <wp:posOffset>-358773</wp:posOffset>
          </wp:positionV>
          <wp:extent cx="943610" cy="3211195"/>
          <wp:effectExtent l="0" t="0" r="0" b="0"/>
          <wp:wrapSquare wrapText="bothSides" distT="0" distB="0" distL="114300" distR="114300"/>
          <wp:docPr id="3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3610" cy="3211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AA" w:rsidRDefault="00E9784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b/>
        <w:bCs/>
        <w:color w:val="7F7F7F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6712583</wp:posOffset>
          </wp:positionH>
          <wp:positionV relativeFrom="paragraph">
            <wp:posOffset>-46353</wp:posOffset>
          </wp:positionV>
          <wp:extent cx="735330" cy="611505"/>
          <wp:effectExtent l="0" t="0" r="0" b="0"/>
          <wp:wrapNone/>
          <wp:docPr id="3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330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>
              <wp:simplePos x="0" y="0"/>
              <wp:positionH relativeFrom="column">
                <wp:posOffset>-901061</wp:posOffset>
              </wp:positionH>
              <wp:positionV relativeFrom="paragraph">
                <wp:posOffset>10413366</wp:posOffset>
              </wp:positionV>
              <wp:extent cx="626745" cy="1246505"/>
              <wp:effectExtent l="0" t="0" r="0" b="0"/>
              <wp:wrapNone/>
              <wp:docPr id="33" name="Dikdörtgen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42153" y="3166273"/>
                        <a:ext cx="607695" cy="1227455"/>
                      </a:xfrm>
                      <a:prstGeom prst="rect">
                        <a:avLst/>
                      </a:prstGeom>
                      <a:solidFill>
                        <a:srgbClr val="8497B0"/>
                      </a:solidFill>
                      <a:ln>
                        <a:noFill/>
                      </a:ln>
                    </wps:spPr>
                    <wps:txbx>
                      <w:txbxContent>
                        <w:p w:rsidR="006F18AA" w:rsidRDefault="006F18AA">
                          <w:pPr>
                            <w:spacing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-901061</wp:posOffset>
              </wp:positionH>
              <wp:positionV relativeFrom="paragraph">
                <wp:posOffset>10413366</wp:posOffset>
              </wp:positionV>
              <wp:extent cx="626745" cy="1246505"/>
              <wp:effectExtent b="0" l="0" r="0" t="0"/>
              <wp:wrapNone/>
              <wp:docPr id="3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6745" cy="12465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</w:p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</w:p>
  <w:p w:rsidR="006F18AA" w:rsidRDefault="006F18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57FE"/>
    <w:multiLevelType w:val="multilevel"/>
    <w:tmpl w:val="FC32D6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9303E6"/>
    <w:multiLevelType w:val="multilevel"/>
    <w:tmpl w:val="830E12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Balk7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Balk8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Balk9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FC52D16"/>
    <w:multiLevelType w:val="multilevel"/>
    <w:tmpl w:val="A06237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0455712"/>
    <w:multiLevelType w:val="multilevel"/>
    <w:tmpl w:val="05A00688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40C48E2"/>
    <w:multiLevelType w:val="multilevel"/>
    <w:tmpl w:val="B4386B0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8D967FC"/>
    <w:multiLevelType w:val="multilevel"/>
    <w:tmpl w:val="F4A623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95C275D"/>
    <w:multiLevelType w:val="multilevel"/>
    <w:tmpl w:val="CBCCDA3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7D6577"/>
    <w:multiLevelType w:val="multilevel"/>
    <w:tmpl w:val="B6927756"/>
    <w:lvl w:ilvl="0">
      <w:start w:val="1"/>
      <w:numFmt w:val="bullet"/>
      <w:pStyle w:val="MUBookletHeading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BAB2594"/>
    <w:multiLevelType w:val="multilevel"/>
    <w:tmpl w:val="CAE2D1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CCD1DF7"/>
    <w:multiLevelType w:val="multilevel"/>
    <w:tmpl w:val="763651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D7F5322"/>
    <w:multiLevelType w:val="multilevel"/>
    <w:tmpl w:val="2E6EA7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03842A9"/>
    <w:multiLevelType w:val="multilevel"/>
    <w:tmpl w:val="3182D6D4"/>
    <w:lvl w:ilvl="0">
      <w:start w:val="2025"/>
      <w:numFmt w:val="decimal"/>
      <w:lvlText w:val="%1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192B74"/>
    <w:multiLevelType w:val="multilevel"/>
    <w:tmpl w:val="67F811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MUBookletHeading2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MuBookletHeading3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003026E"/>
    <w:multiLevelType w:val="multilevel"/>
    <w:tmpl w:val="D8A48B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A1674D2"/>
    <w:multiLevelType w:val="multilevel"/>
    <w:tmpl w:val="F424C5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9FB3B8D"/>
    <w:multiLevelType w:val="multilevel"/>
    <w:tmpl w:val="7F0431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5CC65D48"/>
    <w:multiLevelType w:val="multilevel"/>
    <w:tmpl w:val="C91000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7E86D17"/>
    <w:multiLevelType w:val="multilevel"/>
    <w:tmpl w:val="A1920B08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72E63824"/>
    <w:multiLevelType w:val="multilevel"/>
    <w:tmpl w:val="E31655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2EB6A95"/>
    <w:multiLevelType w:val="multilevel"/>
    <w:tmpl w:val="4A3417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7B182B45"/>
    <w:multiLevelType w:val="multilevel"/>
    <w:tmpl w:val="518240F4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D7B3BB6"/>
    <w:multiLevelType w:val="multilevel"/>
    <w:tmpl w:val="F70E698E"/>
    <w:lvl w:ilvl="0">
      <w:start w:val="1"/>
      <w:numFmt w:val="decimal"/>
      <w:pStyle w:val="MUBooklet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DA74FB8"/>
    <w:multiLevelType w:val="multilevel"/>
    <w:tmpl w:val="21C4DCE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7"/>
  </w:num>
  <w:num w:numId="5">
    <w:abstractNumId w:val="16"/>
  </w:num>
  <w:num w:numId="6">
    <w:abstractNumId w:val="9"/>
  </w:num>
  <w:num w:numId="7">
    <w:abstractNumId w:val="10"/>
  </w:num>
  <w:num w:numId="8">
    <w:abstractNumId w:val="18"/>
  </w:num>
  <w:num w:numId="9">
    <w:abstractNumId w:val="6"/>
  </w:num>
  <w:num w:numId="10">
    <w:abstractNumId w:val="11"/>
  </w:num>
  <w:num w:numId="11">
    <w:abstractNumId w:val="22"/>
  </w:num>
  <w:num w:numId="12">
    <w:abstractNumId w:val="2"/>
  </w:num>
  <w:num w:numId="13">
    <w:abstractNumId w:val="17"/>
  </w:num>
  <w:num w:numId="14">
    <w:abstractNumId w:val="15"/>
  </w:num>
  <w:num w:numId="15">
    <w:abstractNumId w:val="13"/>
  </w:num>
  <w:num w:numId="16">
    <w:abstractNumId w:val="20"/>
  </w:num>
  <w:num w:numId="17">
    <w:abstractNumId w:val="3"/>
  </w:num>
  <w:num w:numId="18">
    <w:abstractNumId w:val="0"/>
  </w:num>
  <w:num w:numId="19">
    <w:abstractNumId w:val="4"/>
  </w:num>
  <w:num w:numId="20">
    <w:abstractNumId w:val="19"/>
  </w:num>
  <w:num w:numId="21">
    <w:abstractNumId w:val="14"/>
  </w:num>
  <w:num w:numId="22">
    <w:abstractNumId w:val="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AA"/>
    <w:rsid w:val="005F41C9"/>
    <w:rsid w:val="006F18AA"/>
    <w:rsid w:val="00E9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B58E7D-6D17-414B-B9F1-FF2FBC10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19"/>
        <w:szCs w:val="19"/>
        <w:lang w:val="en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240" w:after="0"/>
      <w:outlineLvl w:val="0"/>
    </w:pPr>
    <w:rPr>
      <w:color w:val="0B5394"/>
      <w:sz w:val="32"/>
      <w:szCs w:val="32"/>
    </w:rPr>
  </w:style>
  <w:style w:type="paragraph" w:styleId="Balk2">
    <w:name w:val="heading 2"/>
    <w:basedOn w:val="Normal"/>
    <w:next w:val="Normal"/>
    <w:pPr>
      <w:keepNext/>
      <w:keepLines/>
      <w:spacing w:before="40" w:after="0"/>
      <w:ind w:left="720"/>
      <w:outlineLvl w:val="1"/>
    </w:pPr>
    <w:rPr>
      <w:color w:val="0B5394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40" w:after="0"/>
      <w:ind w:left="1440"/>
      <w:outlineLvl w:val="2"/>
    </w:pPr>
    <w:rPr>
      <w:color w:val="073762"/>
      <w:sz w:val="24"/>
      <w:szCs w:val="24"/>
    </w:rPr>
  </w:style>
  <w:style w:type="paragraph" w:styleId="Balk4">
    <w:name w:val="heading 4"/>
    <w:basedOn w:val="Normal"/>
    <w:next w:val="Normal"/>
    <w:pPr>
      <w:keepNext/>
      <w:keepLines/>
      <w:spacing w:before="240"/>
      <w:ind w:left="714" w:hanging="357"/>
      <w:jc w:val="left"/>
      <w:outlineLvl w:val="3"/>
    </w:pPr>
    <w:rPr>
      <w:color w:val="FF8C00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40" w:after="0"/>
      <w:ind w:left="2880"/>
      <w:outlineLvl w:val="4"/>
    </w:pPr>
    <w:rPr>
      <w:color w:val="0B5394"/>
    </w:rPr>
  </w:style>
  <w:style w:type="paragraph" w:styleId="Balk6">
    <w:name w:val="heading 6"/>
    <w:basedOn w:val="Normal"/>
    <w:next w:val="Normal"/>
    <w:pPr>
      <w:keepNext/>
      <w:keepLines/>
      <w:spacing w:before="40" w:after="0"/>
      <w:ind w:left="3600"/>
      <w:outlineLvl w:val="5"/>
    </w:pPr>
    <w:rPr>
      <w:color w:val="07376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C785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C785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C785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alk1Char">
    <w:name w:val="Başlık 1 Char"/>
    <w:basedOn w:val="VarsaylanParagrafYazTipi"/>
    <w:uiPriority w:val="1"/>
    <w:rsid w:val="005537C2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uiPriority w:val="9"/>
    <w:rsid w:val="005537C2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uiPriority w:val="9"/>
    <w:rsid w:val="005537C2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customStyle="1" w:styleId="MUBookletHeading2">
    <w:name w:val="MUBooklet Heading 2"/>
    <w:basedOn w:val="MUBookletHeading1"/>
    <w:link w:val="MUBookletHeading2Char"/>
    <w:autoRedefine/>
    <w:qFormat/>
    <w:rsid w:val="00B13FEC"/>
    <w:pPr>
      <w:numPr>
        <w:ilvl w:val="1"/>
        <w:numId w:val="1"/>
      </w:numPr>
    </w:pPr>
    <w:rPr>
      <w:color w:val="48D1CC"/>
      <w:sz w:val="28"/>
    </w:rPr>
  </w:style>
  <w:style w:type="paragraph" w:customStyle="1" w:styleId="MUBookletHeading1">
    <w:name w:val="MUBooklet Heading 1"/>
    <w:basedOn w:val="MUBookletHeading"/>
    <w:link w:val="MUBookletHeading1Char"/>
    <w:autoRedefine/>
    <w:qFormat/>
    <w:rsid w:val="00AD6056"/>
    <w:pPr>
      <w:numPr>
        <w:numId w:val="4"/>
      </w:numPr>
      <w:jc w:val="left"/>
    </w:pPr>
    <w:rPr>
      <w:color w:val="009DD9" w:themeColor="accent2"/>
    </w:rPr>
  </w:style>
  <w:style w:type="paragraph" w:customStyle="1" w:styleId="MUBookletHeading">
    <w:name w:val="MUBooklet Heading"/>
    <w:link w:val="MUBookletHeadingChar"/>
    <w:autoRedefine/>
    <w:qFormat/>
    <w:rsid w:val="00E1225B"/>
    <w:pPr>
      <w:numPr>
        <w:numId w:val="23"/>
      </w:numPr>
      <w:spacing w:before="480" w:after="240"/>
    </w:pPr>
    <w:rPr>
      <w:rFonts w:asciiTheme="minorHAnsi" w:hAnsiTheme="minorHAnsi"/>
      <w:b/>
      <w:bCs/>
      <w:color w:val="003D72"/>
      <w:sz w:val="40"/>
      <w:szCs w:val="40"/>
      <w:lang w:val="tr-TR"/>
      <w14:textOutline w14:w="9525" w14:cap="flat" w14:cmpd="sng" w14:algn="ctr">
        <w14:noFill/>
        <w14:prstDash w14:val="solid"/>
        <w14:round/>
      </w14:textOutline>
    </w:rPr>
  </w:style>
  <w:style w:type="character" w:customStyle="1" w:styleId="MUBookletHeadingChar">
    <w:name w:val="MUBooklet Heading Char"/>
    <w:basedOn w:val="Balk1Char"/>
    <w:link w:val="MUBookletHeading"/>
    <w:rsid w:val="00E1225B"/>
    <w:rPr>
      <w:rFonts w:asciiTheme="majorHAnsi" w:eastAsiaTheme="majorEastAsia" w:hAnsiTheme="majorHAnsi" w:cstheme="majorBidi"/>
      <w:b/>
      <w:bCs/>
      <w:color w:val="003D72"/>
      <w:sz w:val="40"/>
      <w:szCs w:val="40"/>
      <w:lang w:val="tr-TR"/>
      <w14:textOutline w14:w="9525" w14:cap="flat" w14:cmpd="sng" w14:algn="ctr">
        <w14:noFill/>
        <w14:prstDash w14:val="solid"/>
        <w14:round/>
      </w14:textOutline>
    </w:rPr>
  </w:style>
  <w:style w:type="character" w:customStyle="1" w:styleId="MUBookletHeading1Char">
    <w:name w:val="MUBooklet Heading 1 Char"/>
    <w:basedOn w:val="MUBookletHeadingChar"/>
    <w:link w:val="MUBookletHeading1"/>
    <w:rsid w:val="00AD6056"/>
    <w:rPr>
      <w:rFonts w:asciiTheme="majorHAnsi" w:eastAsiaTheme="majorEastAsia" w:hAnsiTheme="majorHAnsi" w:cstheme="majorBidi"/>
      <w:b/>
      <w:bCs/>
      <w:color w:val="009DD9" w:themeColor="accent2"/>
      <w:sz w:val="40"/>
      <w:szCs w:val="40"/>
      <w:lang w:val="tr-TR"/>
      <w14:textOutline w14:w="9525" w14:cap="flat" w14:cmpd="sng" w14:algn="ctr">
        <w14:noFill/>
        <w14:prstDash w14:val="solid"/>
        <w14:round/>
      </w14:textOutline>
    </w:rPr>
  </w:style>
  <w:style w:type="character" w:customStyle="1" w:styleId="MUBookletHeading2Char">
    <w:name w:val="MUBooklet Heading 2 Char"/>
    <w:basedOn w:val="MUBookletHeading1Char"/>
    <w:link w:val="MUBookletHeading2"/>
    <w:rsid w:val="00B13FEC"/>
    <w:rPr>
      <w:rFonts w:asciiTheme="majorHAnsi" w:eastAsiaTheme="majorEastAsia" w:hAnsiTheme="majorHAnsi" w:cstheme="majorBidi"/>
      <w:b/>
      <w:bCs/>
      <w:color w:val="48D1CC"/>
      <w:sz w:val="28"/>
      <w:szCs w:val="40"/>
      <w:lang w:val="tr-TR"/>
      <w14:textOutline w14:w="9525" w14:cap="flat" w14:cmpd="sng" w14:algn="ctr">
        <w14:noFill/>
        <w14:prstDash w14:val="solid"/>
        <w14:round/>
      </w14:textOutline>
    </w:rPr>
  </w:style>
  <w:style w:type="character" w:customStyle="1" w:styleId="Balk4Char">
    <w:name w:val="Başlık 4 Char"/>
    <w:aliases w:val="Booklet Heading 3 Char"/>
    <w:basedOn w:val="VarsaylanParagrafYazTipi"/>
    <w:uiPriority w:val="9"/>
    <w:rsid w:val="00CC62E6"/>
    <w:rPr>
      <w:rFonts w:eastAsiaTheme="majorEastAsia" w:cstheme="majorBidi"/>
      <w:bCs/>
      <w:iCs/>
      <w:color w:val="FF8C00"/>
      <w:sz w:val="24"/>
      <w:szCs w:val="40"/>
      <w:lang w:val="tr-TR"/>
      <w14:textOutline w14:w="9525" w14:cap="flat" w14:cmpd="sng" w14:algn="ctr">
        <w14:noFill/>
        <w14:prstDash w14:val="solid"/>
        <w14:round/>
      </w14:textOutline>
    </w:rPr>
  </w:style>
  <w:style w:type="character" w:customStyle="1" w:styleId="Balk5Char">
    <w:name w:val="Başlık 5 Char"/>
    <w:basedOn w:val="VarsaylanParagrafYazTipi"/>
    <w:uiPriority w:val="9"/>
    <w:semiHidden/>
    <w:rsid w:val="00CC785C"/>
    <w:rPr>
      <w:rFonts w:asciiTheme="majorHAnsi" w:eastAsiaTheme="majorEastAsia" w:hAnsiTheme="majorHAnsi" w:cstheme="majorBidi"/>
      <w:color w:val="0B5294" w:themeColor="accent1" w:themeShade="BF"/>
      <w:sz w:val="19"/>
    </w:rPr>
  </w:style>
  <w:style w:type="character" w:customStyle="1" w:styleId="Balk6Char">
    <w:name w:val="Başlık 6 Char"/>
    <w:basedOn w:val="VarsaylanParagrafYazTipi"/>
    <w:uiPriority w:val="9"/>
    <w:semiHidden/>
    <w:rsid w:val="00CC785C"/>
    <w:rPr>
      <w:rFonts w:asciiTheme="majorHAnsi" w:eastAsiaTheme="majorEastAsia" w:hAnsiTheme="majorHAnsi" w:cstheme="majorBidi"/>
      <w:color w:val="073662" w:themeColor="accent1" w:themeShade="7F"/>
      <w:sz w:val="19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C785C"/>
    <w:rPr>
      <w:rFonts w:asciiTheme="majorHAnsi" w:eastAsiaTheme="majorEastAsia" w:hAnsiTheme="majorHAnsi" w:cstheme="majorBidi"/>
      <w:i/>
      <w:iCs/>
      <w:color w:val="073662" w:themeColor="accent1" w:themeShade="7F"/>
      <w:sz w:val="19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C785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C785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KDRHeading">
    <w:name w:val="KİDR Heading"/>
    <w:basedOn w:val="Normal"/>
    <w:link w:val="KDRHeadingChar"/>
    <w:qFormat/>
    <w:rsid w:val="00BE5A3F"/>
    <w:pPr>
      <w:tabs>
        <w:tab w:val="left" w:pos="0"/>
      </w:tabs>
      <w:spacing w:after="0" w:line="360" w:lineRule="auto"/>
    </w:pPr>
    <w:rPr>
      <w:b/>
    </w:rPr>
  </w:style>
  <w:style w:type="character" w:customStyle="1" w:styleId="KDRHeadingChar">
    <w:name w:val="KİDR Heading Char"/>
    <w:basedOn w:val="VarsaylanParagrafYazTipi"/>
    <w:link w:val="KDRHeading"/>
    <w:rsid w:val="00BE5A3F"/>
    <w:rPr>
      <w:b/>
    </w:rPr>
  </w:style>
  <w:style w:type="paragraph" w:customStyle="1" w:styleId="KDRHeading2">
    <w:name w:val="KİDR Heading 2"/>
    <w:basedOn w:val="Normal"/>
    <w:link w:val="KDRHeading2Char"/>
    <w:qFormat/>
    <w:rsid w:val="00BE5A3F"/>
    <w:pPr>
      <w:tabs>
        <w:tab w:val="left" w:pos="0"/>
      </w:tabs>
      <w:spacing w:after="0" w:line="360" w:lineRule="auto"/>
    </w:pPr>
    <w:rPr>
      <w:b/>
    </w:rPr>
  </w:style>
  <w:style w:type="character" w:customStyle="1" w:styleId="KDRHeading2Char">
    <w:name w:val="KİDR Heading 2 Char"/>
    <w:basedOn w:val="VarsaylanParagrafYazTipi"/>
    <w:link w:val="KDRHeading2"/>
    <w:rsid w:val="00BE5A3F"/>
    <w:rPr>
      <w:b/>
    </w:rPr>
  </w:style>
  <w:style w:type="paragraph" w:styleId="ListeParagraf">
    <w:name w:val="List Paragraph"/>
    <w:basedOn w:val="Normal"/>
    <w:uiPriority w:val="34"/>
    <w:qFormat/>
    <w:rsid w:val="008568A1"/>
    <w:pPr>
      <w:ind w:left="720"/>
      <w:contextualSpacing/>
    </w:pPr>
  </w:style>
  <w:style w:type="paragraph" w:customStyle="1" w:styleId="Style1">
    <w:name w:val="Style1"/>
    <w:basedOn w:val="MUBookletHeading"/>
    <w:qFormat/>
    <w:rsid w:val="005537C2"/>
  </w:style>
  <w:style w:type="paragraph" w:styleId="AralkYok">
    <w:name w:val="No Spacing"/>
    <w:link w:val="AralkYokChar"/>
    <w:uiPriority w:val="1"/>
    <w:qFormat/>
    <w:rsid w:val="005C0A2B"/>
    <w:pPr>
      <w:spacing w:after="0"/>
    </w:pPr>
  </w:style>
  <w:style w:type="character" w:customStyle="1" w:styleId="AralkYokChar">
    <w:name w:val="Aralık Yok Char"/>
    <w:basedOn w:val="VarsaylanParagrafYazTipi"/>
    <w:link w:val="AralkYok"/>
    <w:uiPriority w:val="1"/>
    <w:rsid w:val="003656A8"/>
  </w:style>
  <w:style w:type="character" w:styleId="Gl">
    <w:name w:val="Strong"/>
    <w:basedOn w:val="VarsaylanParagrafYazTipi"/>
    <w:uiPriority w:val="22"/>
    <w:qFormat/>
    <w:rsid w:val="005C0A2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6A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rsid w:val="00245C09"/>
    <w:pPr>
      <w:spacing w:after="0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F5F4E"/>
    <w:pPr>
      <w:tabs>
        <w:tab w:val="center" w:pos="4703"/>
        <w:tab w:val="right" w:pos="9406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rsid w:val="006F5F4E"/>
    <w:rPr>
      <w:sz w:val="19"/>
    </w:rPr>
  </w:style>
  <w:style w:type="paragraph" w:styleId="Altbilgi">
    <w:name w:val="footer"/>
    <w:basedOn w:val="Normal"/>
    <w:link w:val="AltbilgiChar"/>
    <w:uiPriority w:val="99"/>
    <w:unhideWhenUsed/>
    <w:rsid w:val="006F5F4E"/>
    <w:pPr>
      <w:tabs>
        <w:tab w:val="center" w:pos="4703"/>
        <w:tab w:val="right" w:pos="9406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6F5F4E"/>
    <w:rPr>
      <w:sz w:val="19"/>
    </w:rPr>
  </w:style>
  <w:style w:type="paragraph" w:styleId="TBal">
    <w:name w:val="TOC Heading"/>
    <w:next w:val="Normal"/>
    <w:uiPriority w:val="39"/>
    <w:unhideWhenUsed/>
    <w:qFormat/>
    <w:rsid w:val="00F877E8"/>
    <w:pPr>
      <w:spacing w:line="259" w:lineRule="auto"/>
      <w:jc w:val="left"/>
    </w:pPr>
  </w:style>
  <w:style w:type="paragraph" w:styleId="T1">
    <w:name w:val="toc 1"/>
    <w:basedOn w:val="Normal"/>
    <w:next w:val="Normal"/>
    <w:autoRedefine/>
    <w:uiPriority w:val="39"/>
    <w:unhideWhenUsed/>
    <w:rsid w:val="00F877E8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F877E8"/>
    <w:rPr>
      <w:color w:val="F49100" w:themeColor="hyperlink"/>
      <w:u w:val="single"/>
    </w:rPr>
  </w:style>
  <w:style w:type="paragraph" w:styleId="T2">
    <w:name w:val="toc 2"/>
    <w:basedOn w:val="Normal"/>
    <w:next w:val="Normal"/>
    <w:autoRedefine/>
    <w:uiPriority w:val="39"/>
    <w:unhideWhenUsed/>
    <w:rsid w:val="00F877E8"/>
    <w:pPr>
      <w:spacing w:after="100" w:line="259" w:lineRule="auto"/>
      <w:ind w:left="220"/>
      <w:jc w:val="left"/>
    </w:pPr>
    <w:rPr>
      <w:rFonts w:eastAsiaTheme="minorEastAsia" w:cs="Times New Roman"/>
      <w:sz w:val="22"/>
    </w:rPr>
  </w:style>
  <w:style w:type="paragraph" w:styleId="T3">
    <w:name w:val="toc 3"/>
    <w:basedOn w:val="Normal"/>
    <w:next w:val="Normal"/>
    <w:autoRedefine/>
    <w:uiPriority w:val="39"/>
    <w:unhideWhenUsed/>
    <w:rsid w:val="00F877E8"/>
    <w:pPr>
      <w:spacing w:after="100" w:line="259" w:lineRule="auto"/>
      <w:ind w:left="440"/>
      <w:jc w:val="left"/>
    </w:pPr>
    <w:rPr>
      <w:rFonts w:eastAsiaTheme="minorEastAsia" w:cs="Times New Roman"/>
      <w:sz w:val="22"/>
    </w:rPr>
  </w:style>
  <w:style w:type="paragraph" w:customStyle="1" w:styleId="MuBookletHeading3">
    <w:name w:val="MuBooklet Heading 3"/>
    <w:basedOn w:val="MUBookletHeading2"/>
    <w:link w:val="MuBookletHeading3Char"/>
    <w:qFormat/>
    <w:rsid w:val="00683CFA"/>
    <w:pPr>
      <w:numPr>
        <w:ilvl w:val="2"/>
      </w:numPr>
      <w:ind w:left="505" w:hanging="505"/>
    </w:pPr>
    <w:rPr>
      <w:color w:val="A5C249" w:themeColor="accent6"/>
    </w:rPr>
  </w:style>
  <w:style w:type="character" w:customStyle="1" w:styleId="MuBookletHeading3Char">
    <w:name w:val="MuBooklet Heading 3 Char"/>
    <w:basedOn w:val="MUBookletHeading2Char"/>
    <w:link w:val="MuBookletHeading3"/>
    <w:rsid w:val="00683CFA"/>
    <w:rPr>
      <w:rFonts w:asciiTheme="majorHAnsi" w:eastAsiaTheme="majorEastAsia" w:hAnsiTheme="majorHAnsi" w:cstheme="majorBidi"/>
      <w:b/>
      <w:bCs/>
      <w:color w:val="A5C249" w:themeColor="accent6"/>
      <w:sz w:val="28"/>
      <w:szCs w:val="40"/>
      <w:lang w:val="tr-TR"/>
      <w14:textOutline w14:w="9525" w14:cap="flat" w14:cmpd="sng" w14:algn="ctr">
        <w14:noFill/>
        <w14:prstDash w14:val="solid"/>
        <w14:round/>
      </w14:textOutline>
    </w:rPr>
  </w:style>
  <w:style w:type="character" w:styleId="Vurgu">
    <w:name w:val="Emphasis"/>
    <w:basedOn w:val="VarsaylanParagrafYazTipi"/>
    <w:uiPriority w:val="20"/>
    <w:qFormat/>
    <w:rsid w:val="003F0C2E"/>
    <w:rPr>
      <w:i/>
      <w:iCs/>
    </w:rPr>
  </w:style>
  <w:style w:type="paragraph" w:customStyle="1" w:styleId="BookletHeading1">
    <w:name w:val="Booklet Heading 1"/>
    <w:basedOn w:val="Normal"/>
    <w:autoRedefine/>
    <w:rsid w:val="00593067"/>
    <w:pPr>
      <w:keepNext/>
      <w:keepLines/>
      <w:spacing w:before="480" w:after="240"/>
      <w:ind w:left="357" w:hanging="357"/>
      <w:jc w:val="left"/>
      <w:outlineLvl w:val="0"/>
    </w:pPr>
    <w:rPr>
      <w:rFonts w:eastAsiaTheme="majorEastAsia" w:cstheme="majorBidi"/>
      <w:b/>
      <w:bCs/>
      <w:color w:val="48D1CC"/>
      <w:sz w:val="40"/>
      <w:szCs w:val="40"/>
      <w:lang w:val="tr-TR"/>
      <w14:textOutline w14:w="9525" w14:cap="flat" w14:cmpd="sng" w14:algn="ctr">
        <w14:noFill/>
        <w14:prstDash w14:val="solid"/>
        <w14:round/>
      </w14:textOutline>
    </w:rPr>
  </w:style>
  <w:style w:type="table" w:styleId="TabloKlavuzuAk">
    <w:name w:val="Grid Table Light"/>
    <w:basedOn w:val="NormalTablo"/>
    <w:uiPriority w:val="40"/>
    <w:rsid w:val="00011D18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DzTablo2">
    <w:name w:val="Plain Table 2"/>
    <w:basedOn w:val="NormalTablo"/>
    <w:uiPriority w:val="42"/>
    <w:rsid w:val="00011D18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37C4"/>
    <w:rPr>
      <w:rFonts w:ascii="Tahoma" w:hAnsi="Tahoma" w:cs="Tahoma"/>
      <w:sz w:val="16"/>
      <w:szCs w:val="16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437C4"/>
    <w:pPr>
      <w:spacing w:after="0"/>
      <w:jc w:val="left"/>
    </w:pPr>
    <w:rPr>
      <w:rFonts w:ascii="Tahoma" w:hAnsi="Tahoma" w:cs="Tahoma"/>
      <w:sz w:val="16"/>
      <w:szCs w:val="16"/>
      <w:lang w:val="tr-TR"/>
    </w:rPr>
  </w:style>
  <w:style w:type="character" w:styleId="YerTutucuMetni">
    <w:name w:val="Placeholder Text"/>
    <w:basedOn w:val="VarsaylanParagrafYazTipi"/>
    <w:uiPriority w:val="99"/>
    <w:semiHidden/>
    <w:rsid w:val="00531C57"/>
    <w:rPr>
      <w:color w:val="666666"/>
    </w:rPr>
  </w:style>
  <w:style w:type="paragraph" w:customStyle="1" w:styleId="BIDRHD1">
    <w:name w:val="BIDR HD1"/>
    <w:basedOn w:val="MUBookletHeading"/>
    <w:link w:val="BIDRHD1Char"/>
    <w:qFormat/>
    <w:rsid w:val="00E1225B"/>
    <w:pPr>
      <w:numPr>
        <w:numId w:val="0"/>
      </w:numPr>
      <w:tabs>
        <w:tab w:val="num" w:pos="720"/>
      </w:tabs>
      <w:ind w:left="720" w:hanging="720"/>
    </w:pPr>
    <w:rPr>
      <w:rFonts w:ascii="Times New Roman" w:hAnsi="Times New Roman" w:cs="Times New Roman"/>
      <w:sz w:val="24"/>
      <w:szCs w:val="24"/>
    </w:rPr>
  </w:style>
  <w:style w:type="character" w:customStyle="1" w:styleId="BIDRHD1Char">
    <w:name w:val="BIDR HD1 Char"/>
    <w:basedOn w:val="MUBookletHeadingChar"/>
    <w:link w:val="BIDRHD1"/>
    <w:rsid w:val="00E1225B"/>
    <w:rPr>
      <w:rFonts w:ascii="Times New Roman" w:eastAsiaTheme="majorEastAsia" w:hAnsi="Times New Roman" w:cs="Times New Roman"/>
      <w:b/>
      <w:bCs/>
      <w:color w:val="003D72"/>
      <w:sz w:val="24"/>
      <w:szCs w:val="24"/>
      <w:lang w:val="tr-TR"/>
      <w14:textOutline w14:w="9525" w14:cap="flat" w14:cmpd="sng" w14:algn="ctr">
        <w14:noFill/>
        <w14:prstDash w14:val="solid"/>
        <w14:round/>
      </w14:textOutline>
    </w:rPr>
  </w:style>
  <w:style w:type="paragraph" w:customStyle="1" w:styleId="BIDRHD2">
    <w:name w:val="BIDR HD2"/>
    <w:basedOn w:val="KDRHeading2"/>
    <w:link w:val="BIDRHD2Char"/>
    <w:autoRedefine/>
    <w:qFormat/>
    <w:rsid w:val="00E1225B"/>
    <w:rPr>
      <w:rFonts w:ascii="Times New Roman" w:hAnsi="Times New Roman" w:cs="Times New Roman"/>
      <w:color w:val="17406D" w:themeColor="text2"/>
      <w:sz w:val="24"/>
      <w:szCs w:val="24"/>
    </w:rPr>
  </w:style>
  <w:style w:type="character" w:customStyle="1" w:styleId="BIDRHD2Char">
    <w:name w:val="BIDR HD2 Char"/>
    <w:basedOn w:val="KDRHeading2Char"/>
    <w:link w:val="BIDRHD2"/>
    <w:rsid w:val="00E1225B"/>
    <w:rPr>
      <w:rFonts w:ascii="Times New Roman" w:hAnsi="Times New Roman" w:cs="Times New Roman"/>
      <w:b/>
      <w:color w:val="17406D" w:themeColor="text2"/>
      <w:sz w:val="24"/>
      <w:szCs w:val="24"/>
    </w:rPr>
  </w:style>
  <w:style w:type="table" w:styleId="KlavuzTablo2-Vurgu1">
    <w:name w:val="Grid Table 2 Accent 1"/>
    <w:basedOn w:val="NormalTablo"/>
    <w:uiPriority w:val="47"/>
    <w:rsid w:val="00E1225B"/>
    <w:pPr>
      <w:spacing w:after="0"/>
    </w:pPr>
    <w:tblPr>
      <w:tblStyleRowBandSize w:val="1"/>
      <w:tblStyleColBandSize w:val="1"/>
      <w:tblInd w:w="0" w:type="dxa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KlavuzTablo2">
    <w:name w:val="Grid Table 2"/>
    <w:basedOn w:val="NormalTablo"/>
    <w:uiPriority w:val="47"/>
    <w:rsid w:val="00A65D93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DipnotMetni">
    <w:name w:val="footnote text"/>
    <w:basedOn w:val="Normal"/>
    <w:link w:val="DipnotMetniChar"/>
    <w:uiPriority w:val="99"/>
    <w:semiHidden/>
    <w:unhideWhenUsed/>
    <w:rsid w:val="0050668F"/>
    <w:pPr>
      <w:spacing w:after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50668F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50668F"/>
    <w:rPr>
      <w:vertAlign w:val="superscript"/>
    </w:rPr>
  </w:style>
  <w:style w:type="table" w:customStyle="1" w:styleId="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1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2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3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5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6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7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9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b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d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2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3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4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5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6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7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8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9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b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c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d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e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f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PwtNN9cGnMTTjjASRCLWNYutLA==">CgMxLjAyDmgucWdmeTNvaHdiYWt5Mg5oLmhzdm84Mmtkb20zYTIOaC44enJ4eWQyY2NndGE4AHIhMXh0MlNmbU91ZW04NjJMVlJxVUVBMmxMVFFUbFFqcHJw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6153</Words>
  <Characters>35075</Characters>
  <Application>Microsoft Office Word</Application>
  <DocSecurity>0</DocSecurity>
  <Lines>292</Lines>
  <Paragraphs>82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Marmara</dc:creator>
  <cp:lastModifiedBy>Microsoft hesabı</cp:lastModifiedBy>
  <cp:revision>2</cp:revision>
  <dcterms:created xsi:type="dcterms:W3CDTF">2026-06-05T12:49:00Z</dcterms:created>
  <dcterms:modified xsi:type="dcterms:W3CDTF">2026-06-05T12:49:00Z</dcterms:modified>
</cp:coreProperties>
</file>